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F78DE6" w14:textId="5C98F772" w:rsidR="001B2E59" w:rsidRPr="00887A94" w:rsidRDefault="00B0112C" w:rsidP="00B0112C">
      <w:pPr>
        <w:jc w:val="center"/>
        <w:rPr>
          <w:b/>
          <w:bCs/>
          <w:sz w:val="28"/>
          <w:szCs w:val="28"/>
        </w:rPr>
      </w:pPr>
      <w:r w:rsidRPr="00887A94">
        <w:rPr>
          <w:b/>
          <w:bCs/>
          <w:sz w:val="28"/>
          <w:szCs w:val="28"/>
        </w:rPr>
        <w:t xml:space="preserve">BYU Professional Teacher </w:t>
      </w:r>
      <w:r w:rsidR="000A2DE7" w:rsidRPr="00887A94">
        <w:rPr>
          <w:b/>
          <w:bCs/>
          <w:sz w:val="28"/>
          <w:szCs w:val="28"/>
        </w:rPr>
        <w:t>Candidate Assessment</w:t>
      </w:r>
      <w:r w:rsidR="00CE6A93">
        <w:rPr>
          <w:b/>
          <w:bCs/>
          <w:sz w:val="28"/>
          <w:szCs w:val="28"/>
        </w:rPr>
        <w:t xml:space="preserve"> Guidelines</w:t>
      </w:r>
    </w:p>
    <w:p w14:paraId="0B00C25B" w14:textId="77777777" w:rsidR="00B0112C" w:rsidRDefault="00B0112C" w:rsidP="00B0112C">
      <w:pPr>
        <w:jc w:val="center"/>
        <w:rPr>
          <w:b/>
          <w:bCs/>
        </w:rPr>
      </w:pPr>
    </w:p>
    <w:p w14:paraId="7093C6A4" w14:textId="4FD3655E" w:rsidR="00887A94" w:rsidRDefault="00887A94" w:rsidP="00A532DB">
      <w:r>
        <w:t xml:space="preserve">The </w:t>
      </w:r>
      <w:r w:rsidR="00A71CD0">
        <w:t>Brigham Young University (</w:t>
      </w:r>
      <w:r>
        <w:t>BYU</w:t>
      </w:r>
      <w:r w:rsidR="00A71CD0">
        <w:t>)</w:t>
      </w:r>
      <w:r>
        <w:t xml:space="preserve"> Professional Teacher Candidate Assessment was created in </w:t>
      </w:r>
      <w:r w:rsidR="003C41B6">
        <w:t xml:space="preserve">July of 2024 in </w:t>
      </w:r>
      <w:r>
        <w:t xml:space="preserve">response to Utah State Board of Education (USBE) </w:t>
      </w:r>
      <w:r w:rsidR="00A71CD0">
        <w:t xml:space="preserve">Educator Preparation Program </w:t>
      </w:r>
      <w:r w:rsidR="006605E9">
        <w:t xml:space="preserve">General Teacher Preparation </w:t>
      </w:r>
      <w:r w:rsidR="00A71CD0">
        <w:t>C</w:t>
      </w:r>
      <w:r w:rsidR="006605E9">
        <w:t xml:space="preserve">ompetencies </w:t>
      </w:r>
      <w:r w:rsidR="00A71CD0">
        <w:t>requirements.  This tool includes all the USBE General Teacher Preparation Competencies, is based on</w:t>
      </w:r>
      <w:r w:rsidR="007E65DF">
        <w:t xml:space="preserve"> InTASC </w:t>
      </w:r>
      <w:r w:rsidR="006428DC">
        <w:t>Standards, the</w:t>
      </w:r>
      <w:r w:rsidR="00A71CD0">
        <w:t xml:space="preserve"> Brigham Young University-Public School Partnership (BYU-PSP) </w:t>
      </w:r>
      <w:r w:rsidR="007F3673">
        <w:t>Commitments and</w:t>
      </w:r>
      <w:r w:rsidR="00A71CD0">
        <w:t xml:space="preserve"> includes teacher candidate reflection based on the BYU-PSP Commitments, USBE Competencies, and on the Mission of BYU.</w:t>
      </w:r>
    </w:p>
    <w:p w14:paraId="6DBB9801" w14:textId="77777777" w:rsidR="00A71CD0" w:rsidRDefault="00A71CD0" w:rsidP="00A532DB"/>
    <w:p w14:paraId="45D830E4" w14:textId="77777777" w:rsidR="006605E9" w:rsidRPr="006605E9" w:rsidRDefault="006605E9" w:rsidP="00A532DB">
      <w:pPr>
        <w:rPr>
          <w:b/>
          <w:bCs/>
          <w:u w:val="single"/>
        </w:rPr>
      </w:pPr>
      <w:r w:rsidRPr="006605E9">
        <w:rPr>
          <w:b/>
          <w:bCs/>
          <w:u w:val="single"/>
        </w:rPr>
        <w:t>Brigham Young University-Public School Partnership</w:t>
      </w:r>
    </w:p>
    <w:p w14:paraId="2DF1C351" w14:textId="6A31ADC8" w:rsidR="00A532DB" w:rsidRPr="00A532DB" w:rsidRDefault="00A532DB" w:rsidP="00A532DB">
      <w:r>
        <w:t>When the Brigham Young University-Public School Partnership (BYU-PSP) was formally created in April of 1984, a charter document was established identifying its mission to “improve teaching and learning by merging theory and practice in a spirt of collaboration and trust</w:t>
      </w:r>
      <w:r w:rsidR="00000674">
        <w:t>”</w:t>
      </w:r>
      <w:r>
        <w:t xml:space="preserve">.  Since that time the BYU-PSP has been consistent in its foundational principals, ideas, and values.  </w:t>
      </w:r>
      <w:r w:rsidR="002104BE">
        <w:t xml:space="preserve">The BYU-PSP is comprised of five school districts (Alpine School District, Jordan School District, Provo City School District, Nebo School District, and Wasatch School District), the David O. McKay School of Education, and BYU colleges of arts and sciences (Engineering &amp; Technology, Family Home &amp; Social Sciences, </w:t>
      </w:r>
      <w:r w:rsidR="00E35CBF">
        <w:t xml:space="preserve">Fine Arts &amp; Communications, </w:t>
      </w:r>
      <w:r w:rsidR="002104BE">
        <w:t>Humanities, Life Science, Physical &amp; Mathematical Sciences)</w:t>
      </w:r>
      <w:r w:rsidR="00E35CBF">
        <w:t xml:space="preserve"> that have teacher preparation programs.  The BYU-PSP finds purposeful renewal in our shared beliefs, which guide educators to engage in change and continuous improvement</w:t>
      </w:r>
    </w:p>
    <w:p w14:paraId="07173A45" w14:textId="77777777" w:rsidR="00A50A94" w:rsidRDefault="00A50A94" w:rsidP="00A532DB">
      <w:pPr>
        <w:rPr>
          <w:u w:val="single"/>
        </w:rPr>
      </w:pPr>
    </w:p>
    <w:p w14:paraId="76F99402" w14:textId="0D40FF7F" w:rsidR="00A50A94" w:rsidRPr="00887A94" w:rsidRDefault="00A50A94" w:rsidP="00A532DB">
      <w:pPr>
        <w:rPr>
          <w:b/>
          <w:bCs/>
          <w:u w:val="single"/>
        </w:rPr>
      </w:pPr>
      <w:r w:rsidRPr="00887A94">
        <w:rPr>
          <w:b/>
          <w:bCs/>
          <w:u w:val="single"/>
        </w:rPr>
        <w:t xml:space="preserve">BYU-PSP </w:t>
      </w:r>
      <w:r w:rsidR="00E35CBF" w:rsidRPr="00887A94">
        <w:rPr>
          <w:b/>
          <w:bCs/>
          <w:u w:val="single"/>
        </w:rPr>
        <w:t>B</w:t>
      </w:r>
      <w:r w:rsidRPr="00887A94">
        <w:rPr>
          <w:b/>
          <w:bCs/>
          <w:u w:val="single"/>
        </w:rPr>
        <w:t>eliefs</w:t>
      </w:r>
    </w:p>
    <w:p w14:paraId="2D04F88C" w14:textId="77777777" w:rsidR="00A50A94" w:rsidRDefault="00E35CBF" w:rsidP="00A50A94">
      <w:pPr>
        <w:pStyle w:val="ListParagraph"/>
        <w:numPr>
          <w:ilvl w:val="0"/>
          <w:numId w:val="7"/>
        </w:numPr>
      </w:pPr>
      <w:r>
        <w:t xml:space="preserve">Teaching is an inherently moral endeavor because it involves human relationships and judgments that impact others. Educators act morally when they decide and act to create conditions that promote thriving for students. </w:t>
      </w:r>
    </w:p>
    <w:p w14:paraId="0F5803A7" w14:textId="77777777" w:rsidR="00A50A94" w:rsidRDefault="00E35CBF" w:rsidP="00A50A94">
      <w:pPr>
        <w:pStyle w:val="ListParagraph"/>
        <w:numPr>
          <w:ilvl w:val="0"/>
          <w:numId w:val="7"/>
        </w:numPr>
      </w:pPr>
      <w:r>
        <w:t xml:space="preserve">Education plays a vital role in preparing young people for the rights and responsibilities of </w:t>
      </w:r>
      <w:r w:rsidR="00A50A94">
        <w:t>self-governance</w:t>
      </w:r>
      <w:r>
        <w:t xml:space="preserve">. Public schools are not the only institution responsible for preparing our youth for citizenship, but they are an important and necessary one. </w:t>
      </w:r>
    </w:p>
    <w:p w14:paraId="4FE53952" w14:textId="77777777" w:rsidR="00A50A94" w:rsidRDefault="00E35CBF" w:rsidP="00A50A94">
      <w:pPr>
        <w:pStyle w:val="ListParagraph"/>
        <w:numPr>
          <w:ilvl w:val="0"/>
          <w:numId w:val="7"/>
        </w:numPr>
      </w:pPr>
      <w:r>
        <w:t xml:space="preserve">Public schools teach and nurture students in the manners and habits of a democratic way of life. Such habits must be taught, modeled, practiced, and acted upon to ensure the continued health of our society. </w:t>
      </w:r>
    </w:p>
    <w:p w14:paraId="2BDBC071" w14:textId="77777777" w:rsidR="00A50A94" w:rsidRDefault="00E35CBF" w:rsidP="00A50A94">
      <w:pPr>
        <w:pStyle w:val="ListParagraph"/>
        <w:numPr>
          <w:ilvl w:val="0"/>
          <w:numId w:val="7"/>
        </w:numPr>
      </w:pPr>
      <w:r>
        <w:t xml:space="preserve">Public education plays a fundamental role in providing access to education for all. </w:t>
      </w:r>
    </w:p>
    <w:p w14:paraId="4C596BBE" w14:textId="77777777" w:rsidR="00A50A94" w:rsidRDefault="00E35CBF" w:rsidP="00A50A94">
      <w:pPr>
        <w:pStyle w:val="ListParagraph"/>
        <w:numPr>
          <w:ilvl w:val="0"/>
          <w:numId w:val="7"/>
        </w:numPr>
      </w:pPr>
      <w:r>
        <w:t xml:space="preserve">Good schools require well-prepared teachers, and good teacher education programs require access to good schools. </w:t>
      </w:r>
    </w:p>
    <w:p w14:paraId="42C1D53B" w14:textId="1D873204" w:rsidR="00E35CBF" w:rsidRDefault="00E35CBF" w:rsidP="00A50A94">
      <w:r>
        <w:t>Members of the BYU-Public School Partnership honor these beliefs and act on them in shared stewardship. To this end, we make the following commitments.</w:t>
      </w:r>
    </w:p>
    <w:p w14:paraId="3F81B523" w14:textId="77777777" w:rsidR="00A50A94" w:rsidRDefault="00A50A94" w:rsidP="00A50A94"/>
    <w:p w14:paraId="60DBAF5F" w14:textId="4275AF35" w:rsidR="00A50A94" w:rsidRPr="00887A94" w:rsidRDefault="00A50A94" w:rsidP="00A50A94">
      <w:pPr>
        <w:rPr>
          <w:b/>
          <w:bCs/>
        </w:rPr>
      </w:pPr>
      <w:r w:rsidRPr="00887A94">
        <w:rPr>
          <w:b/>
          <w:bCs/>
          <w:u w:val="single"/>
        </w:rPr>
        <w:t>BYU-PSP Commitments</w:t>
      </w:r>
      <w:r w:rsidRPr="00887A94">
        <w:rPr>
          <w:b/>
          <w:bCs/>
        </w:rPr>
        <w:t xml:space="preserve"> </w:t>
      </w:r>
    </w:p>
    <w:p w14:paraId="0A2FE4CE" w14:textId="77777777" w:rsidR="00A50A94" w:rsidRDefault="00A50A94" w:rsidP="00A50A94">
      <w:pPr>
        <w:pStyle w:val="ListParagraph"/>
        <w:numPr>
          <w:ilvl w:val="0"/>
          <w:numId w:val="8"/>
        </w:numPr>
      </w:pPr>
      <w:r w:rsidRPr="00000674">
        <w:rPr>
          <w:b/>
          <w:bCs/>
        </w:rPr>
        <w:t>Civic Preparation and Engagement:</w:t>
      </w:r>
      <w:r>
        <w:t xml:space="preserve"> The Partnership develops educators who model and teach the knowledge, skills, and dispositions required for civic virtue and engagement in our society. </w:t>
      </w:r>
    </w:p>
    <w:p w14:paraId="7BEDF1EC" w14:textId="77777777" w:rsidR="00A50A94" w:rsidRDefault="00A50A94" w:rsidP="00A50A94">
      <w:pPr>
        <w:pStyle w:val="ListParagraph"/>
        <w:numPr>
          <w:ilvl w:val="0"/>
          <w:numId w:val="8"/>
        </w:numPr>
      </w:pPr>
      <w:r w:rsidRPr="00000674">
        <w:rPr>
          <w:b/>
          <w:bCs/>
        </w:rPr>
        <w:lastRenderedPageBreak/>
        <w:t>Equitable Access to Knowledge:</w:t>
      </w:r>
      <w:r>
        <w:t xml:space="preserve"> The Partnership develops educators who are committed to and actively provide equitable access for all students to the fullest possible range and richness of the educational experience. </w:t>
      </w:r>
    </w:p>
    <w:p w14:paraId="72106231" w14:textId="77777777" w:rsidR="00A50A94" w:rsidRDefault="00A50A94" w:rsidP="00A50A94">
      <w:pPr>
        <w:pStyle w:val="ListParagraph"/>
        <w:numPr>
          <w:ilvl w:val="0"/>
          <w:numId w:val="8"/>
        </w:numPr>
      </w:pPr>
      <w:r w:rsidRPr="00000674">
        <w:rPr>
          <w:b/>
          <w:bCs/>
        </w:rPr>
        <w:t>Engaged Learning Through Nurturing Pedagogy:</w:t>
      </w:r>
      <w:r>
        <w:t xml:space="preserve"> The Partnership develops educators who are competent and caring and who promote engaged learning through appropriate instructional strategies, high expectations, and positive classroom environments and relationships. </w:t>
      </w:r>
    </w:p>
    <w:p w14:paraId="3A872FD2" w14:textId="77777777" w:rsidR="00A50A94" w:rsidRDefault="00A50A94" w:rsidP="00A50A94">
      <w:pPr>
        <w:pStyle w:val="ListParagraph"/>
        <w:numPr>
          <w:ilvl w:val="0"/>
          <w:numId w:val="8"/>
        </w:numPr>
      </w:pPr>
      <w:r w:rsidRPr="00000674">
        <w:rPr>
          <w:b/>
          <w:bCs/>
        </w:rPr>
        <w:t>Stewardship:</w:t>
      </w:r>
      <w:r>
        <w:t xml:space="preserve"> The Partnership assists educators in their role as stewards who oversee, protect, and care for the wellbeing of students, schools, and communities. </w:t>
      </w:r>
    </w:p>
    <w:p w14:paraId="712C945D" w14:textId="76A110DF" w:rsidR="00887A94" w:rsidRDefault="00A50A94" w:rsidP="00A50A94">
      <w:pPr>
        <w:pStyle w:val="ListParagraph"/>
        <w:numPr>
          <w:ilvl w:val="0"/>
          <w:numId w:val="8"/>
        </w:numPr>
      </w:pPr>
      <w:r w:rsidRPr="00000674">
        <w:rPr>
          <w:b/>
          <w:bCs/>
        </w:rPr>
        <w:t>Simultaneous Renewal:</w:t>
      </w:r>
      <w:r>
        <w:t xml:space="preserve"> The Partnership cultivates in educators a commitment to continuous improvement through inquiry, reflection, and action, both within one’s professional practice and collaboratively within the Partnership</w:t>
      </w:r>
      <w:r w:rsidR="005D533F">
        <w:t>.</w:t>
      </w:r>
    </w:p>
    <w:p w14:paraId="064A25EC" w14:textId="77777777" w:rsidR="00887A94" w:rsidRDefault="00887A94" w:rsidP="00887A94">
      <w:pPr>
        <w:ind w:left="360"/>
      </w:pPr>
    </w:p>
    <w:p w14:paraId="0F362D8A" w14:textId="0940F0BA" w:rsidR="00B0112C" w:rsidRPr="00887A94" w:rsidRDefault="00B0112C" w:rsidP="00A50A94">
      <w:pPr>
        <w:rPr>
          <w:b/>
          <w:bCs/>
          <w:u w:val="single"/>
        </w:rPr>
      </w:pPr>
      <w:r w:rsidRPr="00887A94">
        <w:rPr>
          <w:b/>
          <w:bCs/>
          <w:u w:val="single"/>
        </w:rPr>
        <w:t>BYU Mission and Aims</w:t>
      </w:r>
    </w:p>
    <w:p w14:paraId="3E074465" w14:textId="77777777" w:rsidR="00887A94" w:rsidRDefault="00A50A94" w:rsidP="00887A94">
      <w:pPr>
        <w:rPr>
          <w:rFonts w:eastAsia="Times New Roman" w:cs="Times New Roman"/>
          <w:kern w:val="0"/>
          <w14:ligatures w14:val="none"/>
        </w:rPr>
      </w:pPr>
      <w:r w:rsidRPr="00A50A94">
        <w:rPr>
          <w:rFonts w:eastAsia="Times New Roman" w:cs="Times New Roman"/>
          <w:b/>
          <w:bCs/>
          <w:kern w:val="0"/>
          <w14:ligatures w14:val="none"/>
        </w:rPr>
        <w:t>The mission</w:t>
      </w:r>
      <w:r w:rsidRPr="00A50A94">
        <w:rPr>
          <w:rFonts w:eastAsia="Times New Roman" w:cs="Times New Roman"/>
          <w:kern w:val="0"/>
          <w14:ligatures w14:val="none"/>
        </w:rPr>
        <w:t xml:space="preserve"> of Brigham Young University — founded, supported, and guided by The Church of Jesus Christ of Latter-day Saints — is to assist individuals in their quest for perfection and eternal life. That assistance should provide a period of intensive learning in a stimulating setting where a commitment to excellence is expected, and the full realization of human potential is pursued.</w:t>
      </w:r>
    </w:p>
    <w:p w14:paraId="69261CDE" w14:textId="77777777" w:rsidR="00887A94" w:rsidRDefault="00887A94" w:rsidP="00887A94">
      <w:pPr>
        <w:rPr>
          <w:rFonts w:eastAsia="Times New Roman" w:cs="Times New Roman"/>
          <w:kern w:val="0"/>
          <w14:ligatures w14:val="none"/>
        </w:rPr>
      </w:pPr>
    </w:p>
    <w:p w14:paraId="06E7743B" w14:textId="77777777" w:rsidR="00000674" w:rsidRDefault="00887A94" w:rsidP="00887A94">
      <w:pPr>
        <w:rPr>
          <w:rFonts w:eastAsia="Times New Roman" w:cs="Open Sans"/>
          <w:color w:val="141414"/>
          <w:kern w:val="0"/>
          <w14:ligatures w14:val="none"/>
        </w:rPr>
      </w:pPr>
      <w:r w:rsidRPr="00887A94">
        <w:rPr>
          <w:rFonts w:eastAsia="Times New Roman" w:cs="Times New Roman"/>
          <w:b/>
          <w:bCs/>
          <w:kern w:val="0"/>
          <w14:ligatures w14:val="none"/>
        </w:rPr>
        <w:t>The Aims</w:t>
      </w:r>
      <w:r>
        <w:rPr>
          <w:rFonts w:eastAsia="Times New Roman" w:cs="Times New Roman"/>
          <w:kern w:val="0"/>
          <w14:ligatures w14:val="none"/>
        </w:rPr>
        <w:t xml:space="preserve"> of a </w:t>
      </w:r>
      <w:r w:rsidRPr="00887A94">
        <w:rPr>
          <w:rFonts w:eastAsia="Times New Roman" w:cs="Open Sans"/>
          <w:color w:val="141414"/>
          <w:kern w:val="0"/>
          <w14:ligatures w14:val="none"/>
        </w:rPr>
        <w:t xml:space="preserve">BYU </w:t>
      </w:r>
      <w:r>
        <w:rPr>
          <w:rFonts w:eastAsia="Times New Roman" w:cs="Open Sans"/>
          <w:color w:val="141414"/>
          <w:kern w:val="0"/>
          <w14:ligatures w14:val="none"/>
        </w:rPr>
        <w:t xml:space="preserve">Education </w:t>
      </w:r>
      <w:r w:rsidRPr="00887A94">
        <w:rPr>
          <w:rFonts w:eastAsia="Times New Roman" w:cs="Open Sans"/>
          <w:color w:val="141414"/>
          <w:kern w:val="0"/>
          <w14:ligatures w14:val="none"/>
        </w:rPr>
        <w:t xml:space="preserve">seeks to develop students of faith, intellect, and character who have the skills and the desire to continue learning and to serve others throughout their lives. These are the common aims of all education at BYU. Both those who teach in the classroom and those who direct activities outside the classroom are responsible for contributing to this complete educational vision. </w:t>
      </w:r>
    </w:p>
    <w:p w14:paraId="7EB73CF9" w14:textId="77777777" w:rsidR="00000674" w:rsidRDefault="00000674" w:rsidP="00887A94">
      <w:pPr>
        <w:rPr>
          <w:rFonts w:eastAsia="Times New Roman" w:cs="Open Sans"/>
          <w:color w:val="141414"/>
          <w:kern w:val="0"/>
          <w14:ligatures w14:val="none"/>
        </w:rPr>
      </w:pPr>
    </w:p>
    <w:p w14:paraId="59F9C972" w14:textId="7862BB45" w:rsidR="00887A94" w:rsidRDefault="00887A94" w:rsidP="00887A94">
      <w:pPr>
        <w:rPr>
          <w:rFonts w:eastAsia="Times New Roman" w:cs="Times New Roman"/>
          <w:kern w:val="0"/>
          <w14:ligatures w14:val="none"/>
        </w:rPr>
      </w:pPr>
      <w:r w:rsidRPr="00887A94">
        <w:rPr>
          <w:rFonts w:eastAsia="Times New Roman" w:cs="Open Sans"/>
          <w:color w:val="141414"/>
          <w:kern w:val="0"/>
          <w14:ligatures w14:val="none"/>
        </w:rPr>
        <w:t>A BYU education should be:</w:t>
      </w:r>
    </w:p>
    <w:p w14:paraId="7817ED74" w14:textId="77777777" w:rsidR="00887A94" w:rsidRPr="00887A94" w:rsidRDefault="00887A94" w:rsidP="00887A94">
      <w:pPr>
        <w:pStyle w:val="ListParagraph"/>
        <w:numPr>
          <w:ilvl w:val="0"/>
          <w:numId w:val="10"/>
        </w:numPr>
        <w:rPr>
          <w:rFonts w:eastAsia="Times New Roman" w:cs="Times New Roman"/>
          <w:kern w:val="0"/>
          <w14:ligatures w14:val="none"/>
        </w:rPr>
      </w:pPr>
      <w:r w:rsidRPr="00887A94">
        <w:rPr>
          <w:rFonts w:eastAsia="Times New Roman" w:cs="Open Sans"/>
          <w:color w:val="141414"/>
          <w:kern w:val="0"/>
          <w14:ligatures w14:val="none"/>
        </w:rPr>
        <w:t>Spiritually Strengthening</w:t>
      </w:r>
    </w:p>
    <w:p w14:paraId="19A042C9" w14:textId="6A20B626" w:rsidR="008C67BF" w:rsidRPr="008C67BF" w:rsidRDefault="00887A94" w:rsidP="008C67BF">
      <w:pPr>
        <w:pStyle w:val="ListParagraph"/>
        <w:numPr>
          <w:ilvl w:val="0"/>
          <w:numId w:val="10"/>
        </w:numPr>
        <w:rPr>
          <w:rFonts w:eastAsia="Times New Roman" w:cs="Times New Roman"/>
          <w:kern w:val="0"/>
          <w14:ligatures w14:val="none"/>
        </w:rPr>
      </w:pPr>
      <w:r w:rsidRPr="00887A94">
        <w:rPr>
          <w:rFonts w:eastAsia="Times New Roman" w:cs="Open Sans"/>
          <w:color w:val="141414"/>
          <w:kern w:val="0"/>
          <w14:ligatures w14:val="none"/>
        </w:rPr>
        <w:t>Intellectually Enlargin</w:t>
      </w:r>
      <w:r>
        <w:rPr>
          <w:rFonts w:eastAsia="Times New Roman" w:cs="Open Sans"/>
          <w:color w:val="141414"/>
          <w:kern w:val="0"/>
          <w14:ligatures w14:val="none"/>
        </w:rPr>
        <w:t>g</w:t>
      </w:r>
    </w:p>
    <w:p w14:paraId="558FC83E" w14:textId="77777777" w:rsidR="00887A94" w:rsidRPr="00887A94" w:rsidRDefault="00887A94" w:rsidP="00887A94">
      <w:pPr>
        <w:pStyle w:val="ListParagraph"/>
        <w:numPr>
          <w:ilvl w:val="0"/>
          <w:numId w:val="10"/>
        </w:numPr>
        <w:rPr>
          <w:rFonts w:eastAsia="Times New Roman" w:cs="Times New Roman"/>
          <w:kern w:val="0"/>
          <w14:ligatures w14:val="none"/>
        </w:rPr>
      </w:pPr>
      <w:r w:rsidRPr="00887A94">
        <w:rPr>
          <w:rFonts w:eastAsia="Times New Roman" w:cs="Open Sans"/>
          <w:color w:val="141414"/>
          <w:kern w:val="0"/>
          <w14:ligatures w14:val="none"/>
        </w:rPr>
        <w:t>Character Building</w:t>
      </w:r>
    </w:p>
    <w:p w14:paraId="68333118" w14:textId="16444ECD" w:rsidR="00887A94" w:rsidRPr="00887A94" w:rsidRDefault="00887A94" w:rsidP="00887A94">
      <w:pPr>
        <w:pStyle w:val="ListParagraph"/>
        <w:numPr>
          <w:ilvl w:val="0"/>
          <w:numId w:val="10"/>
        </w:numPr>
        <w:rPr>
          <w:rFonts w:eastAsia="Times New Roman" w:cs="Times New Roman"/>
          <w:kern w:val="0"/>
          <w14:ligatures w14:val="none"/>
        </w:rPr>
      </w:pPr>
      <w:r w:rsidRPr="00887A94">
        <w:rPr>
          <w:rFonts w:eastAsia="Times New Roman" w:cs="Open Sans"/>
          <w:color w:val="141414"/>
          <w:kern w:val="0"/>
          <w14:ligatures w14:val="none"/>
        </w:rPr>
        <w:t>Leading to Lifelong Learning and Service</w:t>
      </w:r>
    </w:p>
    <w:p w14:paraId="518097B5" w14:textId="77777777" w:rsidR="00A50A94" w:rsidRPr="00A50A94" w:rsidRDefault="00A50A94" w:rsidP="00A50A94">
      <w:pPr>
        <w:shd w:val="clear" w:color="auto" w:fill="FFFFFF"/>
        <w:rPr>
          <w:rFonts w:ascii="Open Sans" w:eastAsia="Times New Roman" w:hAnsi="Open Sans" w:cs="Open Sans"/>
          <w:color w:val="141414"/>
          <w:kern w:val="0"/>
          <w:sz w:val="15"/>
          <w:szCs w:val="15"/>
          <w14:ligatures w14:val="none"/>
        </w:rPr>
      </w:pPr>
    </w:p>
    <w:p w14:paraId="41EB5258" w14:textId="41EFF6E4" w:rsidR="00E957F9" w:rsidRDefault="00E957F9" w:rsidP="00887A94">
      <w:pPr>
        <w:rPr>
          <w:b/>
          <w:bCs/>
          <w:u w:val="single"/>
        </w:rPr>
      </w:pPr>
      <w:r>
        <w:rPr>
          <w:b/>
          <w:bCs/>
          <w:u w:val="single"/>
        </w:rPr>
        <w:t>InTASC Standards</w:t>
      </w:r>
    </w:p>
    <w:p w14:paraId="2B7B57ED" w14:textId="77777777" w:rsidR="00E22799" w:rsidRDefault="008C67BF" w:rsidP="00887A94">
      <w:pPr>
        <w:rPr>
          <w:color w:val="000000" w:themeColor="text1"/>
          <w:shd w:val="clear" w:color="auto" w:fill="FFFFFF"/>
        </w:rPr>
      </w:pPr>
      <w:r w:rsidRPr="008C67BF">
        <w:rPr>
          <w:color w:val="000000" w:themeColor="text1"/>
          <w:shd w:val="clear" w:color="auto" w:fill="FFFFFF"/>
        </w:rPr>
        <w:t xml:space="preserve">Interstate Teacher Assessment and Support Consortium (InTASC) is a </w:t>
      </w:r>
      <w:r w:rsidR="00E22799">
        <w:rPr>
          <w:color w:val="000000" w:themeColor="text1"/>
          <w:shd w:val="clear" w:color="auto" w:fill="FFFFFF"/>
        </w:rPr>
        <w:t>national set of standards</w:t>
      </w:r>
      <w:r w:rsidRPr="008C67BF">
        <w:rPr>
          <w:color w:val="000000" w:themeColor="text1"/>
          <w:shd w:val="clear" w:color="auto" w:fill="FFFFFF"/>
        </w:rPr>
        <w:t xml:space="preserve"> </w:t>
      </w:r>
      <w:r w:rsidR="00E22799">
        <w:rPr>
          <w:color w:val="000000" w:themeColor="text1"/>
          <w:shd w:val="clear" w:color="auto" w:fill="FFFFFF"/>
        </w:rPr>
        <w:t xml:space="preserve">for ongoing teacher development to promote and improve teacher effectiveness and growth.  It has been </w:t>
      </w:r>
      <w:r w:rsidRPr="008C67BF">
        <w:rPr>
          <w:color w:val="000000" w:themeColor="text1"/>
          <w:shd w:val="clear" w:color="auto" w:fill="FFFFFF"/>
        </w:rPr>
        <w:t>established by the Council of Chief State School Officers (CCSSO).</w:t>
      </w:r>
      <w:r w:rsidR="00E22799">
        <w:rPr>
          <w:color w:val="000000" w:themeColor="text1"/>
          <w:shd w:val="clear" w:color="auto" w:fill="FFFFFF"/>
        </w:rPr>
        <w:t xml:space="preserve">  </w:t>
      </w:r>
    </w:p>
    <w:p w14:paraId="4397B866" w14:textId="77777777" w:rsidR="00E22799" w:rsidRDefault="00E22799" w:rsidP="00887A94">
      <w:pPr>
        <w:rPr>
          <w:color w:val="000000" w:themeColor="text1"/>
          <w:shd w:val="clear" w:color="auto" w:fill="FFFFFF"/>
        </w:rPr>
      </w:pPr>
    </w:p>
    <w:p w14:paraId="7C746336" w14:textId="77777777" w:rsidR="005A5E55" w:rsidRDefault="00E22799" w:rsidP="00887A94">
      <w:pPr>
        <w:rPr>
          <w:color w:val="000000" w:themeColor="text1"/>
        </w:rPr>
      </w:pPr>
      <w:r>
        <w:rPr>
          <w:color w:val="000000" w:themeColor="text1"/>
        </w:rPr>
        <w:t xml:space="preserve">InTASC Standards outline what teachers should know and be able to do to ensure every PK-12 student reaches the goal of being ready to enter </w:t>
      </w:r>
      <w:r w:rsidR="008C67BF" w:rsidRPr="008C67BF">
        <w:rPr>
          <w:color w:val="000000" w:themeColor="text1"/>
        </w:rPr>
        <w:t xml:space="preserve">college or the workforce in today’s world. This “common core” outlines the principles and foundations of teaching practice that cut across all subject areas and grade levels and that all teachers share. </w:t>
      </w:r>
    </w:p>
    <w:p w14:paraId="14BB3FD6" w14:textId="77777777" w:rsidR="005A5E55" w:rsidRDefault="005A5E55" w:rsidP="00887A94">
      <w:pPr>
        <w:rPr>
          <w:color w:val="000000" w:themeColor="text1"/>
        </w:rPr>
      </w:pPr>
    </w:p>
    <w:p w14:paraId="075ECD01" w14:textId="180F0EE6" w:rsidR="008C67BF" w:rsidRPr="00E22799" w:rsidRDefault="00E22799" w:rsidP="00887A94">
      <w:pPr>
        <w:rPr>
          <w:color w:val="000000" w:themeColor="text1"/>
          <w:shd w:val="clear" w:color="auto" w:fill="FFFFFF"/>
        </w:rPr>
      </w:pPr>
      <w:r>
        <w:rPr>
          <w:color w:val="000000" w:themeColor="text1"/>
        </w:rPr>
        <w:t>T</w:t>
      </w:r>
      <w:r w:rsidR="008C67BF" w:rsidRPr="008C67BF">
        <w:rPr>
          <w:color w:val="000000" w:themeColor="text1"/>
        </w:rPr>
        <w:t>hese Model Core Teaching Standards articulate what effective teaching and learning looks like</w:t>
      </w:r>
      <w:r>
        <w:rPr>
          <w:color w:val="000000" w:themeColor="text1"/>
        </w:rPr>
        <w:t>.</w:t>
      </w:r>
      <w:r w:rsidR="008C67BF" w:rsidRPr="008C67BF">
        <w:rPr>
          <w:color w:val="000000" w:themeColor="text1"/>
        </w:rPr>
        <w:t xml:space="preserve"> </w:t>
      </w:r>
      <w:r>
        <w:rPr>
          <w:color w:val="000000" w:themeColor="text1"/>
        </w:rPr>
        <w:t xml:space="preserve"> It </w:t>
      </w:r>
      <w:r w:rsidR="008C67BF" w:rsidRPr="008C67BF">
        <w:rPr>
          <w:color w:val="000000" w:themeColor="text1"/>
        </w:rPr>
        <w:t xml:space="preserve">empowers every learner to take ownership of their learning, emphasizes the learning of content and application of knowledge and skill to real world problems, values the differences each learner brings to the learning experience, and leverages rapidly changing learning </w:t>
      </w:r>
      <w:r w:rsidR="008C67BF" w:rsidRPr="008C67BF">
        <w:rPr>
          <w:color w:val="000000" w:themeColor="text1"/>
        </w:rPr>
        <w:lastRenderedPageBreak/>
        <w:t xml:space="preserve">environments by recognizing the possibilities they bring to maximize learning and engage learners. </w:t>
      </w:r>
      <w:r w:rsidR="005A5E55">
        <w:rPr>
          <w:color w:val="000000" w:themeColor="text1"/>
        </w:rPr>
        <w:t xml:space="preserve">These standards outline what all teachers across all content and grade levels should know and be able to do to be effective in today’s learning contexts.  </w:t>
      </w:r>
    </w:p>
    <w:p w14:paraId="51D25B0B" w14:textId="77777777" w:rsidR="008C67BF" w:rsidRDefault="008C67BF" w:rsidP="00887A94">
      <w:pPr>
        <w:rPr>
          <w:color w:val="000000" w:themeColor="text1"/>
        </w:rPr>
      </w:pPr>
    </w:p>
    <w:p w14:paraId="6202C87F" w14:textId="53320B60" w:rsidR="00B0112C" w:rsidRPr="00887A94" w:rsidRDefault="00B0112C" w:rsidP="00887A94">
      <w:pPr>
        <w:rPr>
          <w:b/>
          <w:bCs/>
          <w:u w:val="single"/>
        </w:rPr>
      </w:pPr>
      <w:r w:rsidRPr="00887A94">
        <w:rPr>
          <w:b/>
          <w:bCs/>
          <w:u w:val="single"/>
        </w:rPr>
        <w:t>USBE Competencies</w:t>
      </w:r>
    </w:p>
    <w:p w14:paraId="1B541A8B" w14:textId="0E798BAA" w:rsidR="00B0112C" w:rsidRDefault="003C41B6" w:rsidP="00B0112C">
      <w:r>
        <w:t xml:space="preserve">There are 37 </w:t>
      </w:r>
      <w:r w:rsidR="001727BE">
        <w:t>USBE</w:t>
      </w:r>
      <w:r w:rsidR="008D12DA">
        <w:t xml:space="preserve"> </w:t>
      </w:r>
      <w:r>
        <w:t xml:space="preserve">General Teacher Preparation </w:t>
      </w:r>
      <w:r w:rsidR="001727BE">
        <w:t>c</w:t>
      </w:r>
      <w:r>
        <w:t xml:space="preserve">ompetencies </w:t>
      </w:r>
      <w:r w:rsidR="001727BE">
        <w:t>which are</w:t>
      </w:r>
      <w:r>
        <w:t xml:space="preserve"> divided into five categories:</w:t>
      </w:r>
    </w:p>
    <w:p w14:paraId="4200A70D" w14:textId="3C72EC0D" w:rsidR="003C41B6" w:rsidRDefault="003C41B6" w:rsidP="003C41B6">
      <w:pPr>
        <w:pStyle w:val="ListParagraph"/>
        <w:numPr>
          <w:ilvl w:val="0"/>
          <w:numId w:val="11"/>
        </w:numPr>
      </w:pPr>
      <w:r>
        <w:t xml:space="preserve">Learners &amp; Learning </w:t>
      </w:r>
    </w:p>
    <w:p w14:paraId="04B4C8D1" w14:textId="56348CE5" w:rsidR="003C41B6" w:rsidRDefault="003C41B6" w:rsidP="003C41B6">
      <w:pPr>
        <w:pStyle w:val="ListParagraph"/>
        <w:numPr>
          <w:ilvl w:val="0"/>
          <w:numId w:val="11"/>
        </w:numPr>
      </w:pPr>
      <w:r>
        <w:t>Instructional Clarity</w:t>
      </w:r>
    </w:p>
    <w:p w14:paraId="6AD74813" w14:textId="3C08C5B9" w:rsidR="003C41B6" w:rsidRDefault="003C41B6" w:rsidP="003C41B6">
      <w:pPr>
        <w:pStyle w:val="ListParagraph"/>
        <w:numPr>
          <w:ilvl w:val="0"/>
          <w:numId w:val="11"/>
        </w:numPr>
      </w:pPr>
      <w:r>
        <w:t>Instructional Practice</w:t>
      </w:r>
    </w:p>
    <w:p w14:paraId="16BAE8FB" w14:textId="25856952" w:rsidR="003C41B6" w:rsidRDefault="003C41B6" w:rsidP="003C41B6">
      <w:pPr>
        <w:pStyle w:val="ListParagraph"/>
        <w:numPr>
          <w:ilvl w:val="0"/>
          <w:numId w:val="11"/>
        </w:numPr>
      </w:pPr>
      <w:r>
        <w:t>Classroom Climate</w:t>
      </w:r>
    </w:p>
    <w:p w14:paraId="7858AA32" w14:textId="11549DDE" w:rsidR="003C41B6" w:rsidRDefault="003C41B6" w:rsidP="003C41B6">
      <w:pPr>
        <w:pStyle w:val="ListParagraph"/>
        <w:numPr>
          <w:ilvl w:val="0"/>
          <w:numId w:val="11"/>
        </w:numPr>
      </w:pPr>
      <w:r>
        <w:t>Professional Responsibility</w:t>
      </w:r>
    </w:p>
    <w:p w14:paraId="17C6C567" w14:textId="77777777" w:rsidR="001727BE" w:rsidRDefault="001727BE" w:rsidP="003C41B6"/>
    <w:p w14:paraId="0834F6E5" w14:textId="5948DE5B" w:rsidR="00765D99" w:rsidRDefault="001727BE" w:rsidP="003C41B6">
      <w:r>
        <w:t>The 2025 General Teacher Preparation competencies are aligned to the new Utah Effective Teaching Standards, Utah portrait of the First Year Teacher and to provide more flexibility for candidates in demonstrating competency.  In accordance with the Utah’s Personalized, Competency Based Learning Framework, the 2025 General Teacher Preparation competencies describe the general know</w:t>
      </w:r>
      <w:r w:rsidR="00765D99">
        <w:t xml:space="preserve">ledge and skills teaching candidates must demonstrate before they are recommended for a professional teaching license. </w:t>
      </w:r>
      <w:r w:rsidR="003C41B6">
        <w:t xml:space="preserve">In order for a BYU education program completer to be recommended </w:t>
      </w:r>
      <w:r w:rsidR="00765D99">
        <w:t>for licensure in the State of Utah, the candidate must demonstrate the 2025 General Teacher Preparation competencies.</w:t>
      </w:r>
    </w:p>
    <w:p w14:paraId="20B0C82F" w14:textId="77777777" w:rsidR="00000674" w:rsidRDefault="00000674" w:rsidP="00B0112C"/>
    <w:p w14:paraId="14A380A2" w14:textId="2C1B2261" w:rsidR="00E957F9" w:rsidRPr="00E957F9" w:rsidRDefault="00E957F9" w:rsidP="005F6E3F">
      <w:pPr>
        <w:rPr>
          <w:rFonts w:cstheme="minorHAnsi"/>
          <w:b/>
          <w:bCs/>
        </w:rPr>
      </w:pPr>
      <w:r w:rsidRPr="00E957F9">
        <w:rPr>
          <w:rFonts w:cstheme="minorHAnsi"/>
          <w:b/>
          <w:bCs/>
        </w:rPr>
        <w:t xml:space="preserve">The BYU Professional Teacher Candidate </w:t>
      </w:r>
      <w:r w:rsidR="0045349F">
        <w:rPr>
          <w:rFonts w:cstheme="minorHAnsi"/>
          <w:b/>
          <w:bCs/>
        </w:rPr>
        <w:t>Assessment</w:t>
      </w:r>
    </w:p>
    <w:p w14:paraId="4AAC95CE" w14:textId="129B717D" w:rsidR="005F6E3F" w:rsidRPr="009860A9" w:rsidRDefault="005F6E3F" w:rsidP="005F6E3F">
      <w:pPr>
        <w:rPr>
          <w:rFonts w:cstheme="minorHAnsi"/>
        </w:rPr>
      </w:pPr>
      <w:r>
        <w:rPr>
          <w:rFonts w:cstheme="minorHAnsi"/>
        </w:rPr>
        <w:t xml:space="preserve">The BYU Professional Teacher Candidate </w:t>
      </w:r>
      <w:r w:rsidR="0045349F">
        <w:rPr>
          <w:rFonts w:cstheme="minorHAnsi"/>
        </w:rPr>
        <w:t>Assessment</w:t>
      </w:r>
      <w:r w:rsidR="0045064D">
        <w:rPr>
          <w:rFonts w:cstheme="minorHAnsi"/>
        </w:rPr>
        <w:t xml:space="preserve"> </w:t>
      </w:r>
      <w:r>
        <w:rPr>
          <w:rFonts w:cstheme="minorHAnsi"/>
        </w:rPr>
        <w:t>i</w:t>
      </w:r>
      <w:r w:rsidRPr="009860A9">
        <w:rPr>
          <w:rFonts w:cstheme="minorHAnsi"/>
        </w:rPr>
        <w:t>s a</w:t>
      </w:r>
      <w:r>
        <w:rPr>
          <w:rFonts w:cstheme="minorHAnsi"/>
        </w:rPr>
        <w:t>n</w:t>
      </w:r>
      <w:r w:rsidRPr="009860A9">
        <w:rPr>
          <w:rFonts w:cstheme="minorHAnsi"/>
        </w:rPr>
        <w:t xml:space="preserve"> evaluation system designed to evaluate teacher candidates’ performance across multiple clinical experiences (i.e., practicum, student teaching, internship). </w:t>
      </w:r>
      <w:r>
        <w:rPr>
          <w:rFonts w:cstheme="minorHAnsi"/>
        </w:rPr>
        <w:t xml:space="preserve">It </w:t>
      </w:r>
      <w:r w:rsidRPr="009860A9">
        <w:rPr>
          <w:rFonts w:cstheme="minorHAnsi"/>
        </w:rPr>
        <w:t>is intended to evaluate candidates’ growth from the beginning of their teacher preparation program through student teaching and program completion.</w:t>
      </w:r>
      <w:r>
        <w:rPr>
          <w:rFonts w:cstheme="minorHAnsi"/>
        </w:rPr>
        <w:t xml:space="preserve"> This instrument will measure candidates’ knowledge, skills and dispositions based on the BYU-Public School Partnership commitments, InTASC Standards, </w:t>
      </w:r>
      <w:r w:rsidRPr="00403DD3">
        <w:rPr>
          <w:rFonts w:cstheme="minorHAnsi"/>
        </w:rPr>
        <w:t>USBE Educator Preparation Program General Teacher Preparation Competencies</w:t>
      </w:r>
      <w:r>
        <w:rPr>
          <w:rFonts w:cstheme="minorHAnsi"/>
        </w:rPr>
        <w:t xml:space="preserve">, and Brigham Young University’s mission.  </w:t>
      </w:r>
      <w:r w:rsidRPr="009860A9">
        <w:rPr>
          <w:rFonts w:cstheme="minorHAnsi"/>
        </w:rPr>
        <w:t>The system asks evaluators to complete both formative assessments and summative evaluations on candidates’ performance while mentoring and coaching them to ensure they are prepared to enter the classroom as a first-year teacher.</w:t>
      </w:r>
    </w:p>
    <w:p w14:paraId="4A0D51D2" w14:textId="77777777" w:rsidR="00000674" w:rsidRDefault="00000674" w:rsidP="00B0112C">
      <w:pPr>
        <w:rPr>
          <w:b/>
          <w:bCs/>
          <w:u w:val="single"/>
        </w:rPr>
      </w:pPr>
    </w:p>
    <w:p w14:paraId="35B06DB7" w14:textId="77777777" w:rsidR="00D83280" w:rsidRPr="00200820" w:rsidRDefault="00D83280" w:rsidP="00200820">
      <w:pPr>
        <w:rPr>
          <w:rFonts w:cstheme="minorHAnsi"/>
          <w:b/>
          <w:bCs/>
          <w:u w:val="single"/>
        </w:rPr>
      </w:pPr>
      <w:r w:rsidRPr="00200820">
        <w:rPr>
          <w:rFonts w:cstheme="minorHAnsi"/>
          <w:b/>
          <w:bCs/>
          <w:u w:val="single"/>
        </w:rPr>
        <w:t>Scale and Items</w:t>
      </w:r>
    </w:p>
    <w:p w14:paraId="4C6DDF2B" w14:textId="77777777" w:rsidR="00D83280" w:rsidRPr="00403DD3" w:rsidRDefault="00D83280" w:rsidP="00200820">
      <w:pPr>
        <w:pStyle w:val="ListParagraph"/>
        <w:numPr>
          <w:ilvl w:val="0"/>
          <w:numId w:val="17"/>
        </w:numPr>
        <w:rPr>
          <w:rFonts w:cstheme="minorHAnsi"/>
        </w:rPr>
      </w:pPr>
      <w:r w:rsidRPr="00403DD3">
        <w:rPr>
          <w:rFonts w:cstheme="minorHAnsi"/>
        </w:rPr>
        <w:t>There are twenty-two items on a 0-3 scale</w:t>
      </w:r>
      <w:r>
        <w:rPr>
          <w:rFonts w:cstheme="minorHAnsi"/>
        </w:rPr>
        <w:t>:</w:t>
      </w:r>
    </w:p>
    <w:p w14:paraId="2E175EB9" w14:textId="77777777" w:rsidR="00D83280" w:rsidRPr="00403DD3" w:rsidRDefault="00D83280" w:rsidP="00200820">
      <w:pPr>
        <w:pStyle w:val="ListParagraph"/>
        <w:numPr>
          <w:ilvl w:val="1"/>
          <w:numId w:val="17"/>
        </w:numPr>
        <w:rPr>
          <w:rFonts w:cstheme="minorHAnsi"/>
        </w:rPr>
      </w:pPr>
      <w:r w:rsidRPr="00403DD3">
        <w:rPr>
          <w:rFonts w:cstheme="minorHAnsi"/>
        </w:rPr>
        <w:t>Not Effective (0)</w:t>
      </w:r>
    </w:p>
    <w:p w14:paraId="51999A79" w14:textId="77777777" w:rsidR="00D83280" w:rsidRPr="00403DD3" w:rsidRDefault="00D83280" w:rsidP="00D83280">
      <w:pPr>
        <w:pStyle w:val="ListParagraph"/>
        <w:numPr>
          <w:ilvl w:val="1"/>
          <w:numId w:val="13"/>
        </w:numPr>
        <w:rPr>
          <w:rFonts w:cstheme="minorHAnsi"/>
        </w:rPr>
      </w:pPr>
      <w:r w:rsidRPr="00403DD3">
        <w:rPr>
          <w:rFonts w:cstheme="minorHAnsi"/>
        </w:rPr>
        <w:t>Beginning (1)</w:t>
      </w:r>
    </w:p>
    <w:p w14:paraId="0CC807CD" w14:textId="77777777" w:rsidR="00D83280" w:rsidRPr="00403DD3" w:rsidRDefault="00D83280" w:rsidP="00D83280">
      <w:pPr>
        <w:pStyle w:val="ListParagraph"/>
        <w:numPr>
          <w:ilvl w:val="1"/>
          <w:numId w:val="13"/>
        </w:numPr>
        <w:rPr>
          <w:rFonts w:cstheme="minorHAnsi"/>
        </w:rPr>
      </w:pPr>
      <w:r w:rsidRPr="00403DD3">
        <w:rPr>
          <w:rFonts w:cstheme="minorHAnsi"/>
        </w:rPr>
        <w:t>Demonstrates Competency (2)</w:t>
      </w:r>
    </w:p>
    <w:p w14:paraId="70DFEFE7" w14:textId="77777777" w:rsidR="00D83280" w:rsidRPr="00403DD3" w:rsidRDefault="00D83280" w:rsidP="00D83280">
      <w:pPr>
        <w:pStyle w:val="ListParagraph"/>
        <w:numPr>
          <w:ilvl w:val="1"/>
          <w:numId w:val="13"/>
        </w:numPr>
        <w:rPr>
          <w:rFonts w:cstheme="minorHAnsi"/>
        </w:rPr>
      </w:pPr>
      <w:r w:rsidRPr="00403DD3">
        <w:rPr>
          <w:rFonts w:cstheme="minorHAnsi"/>
        </w:rPr>
        <w:t>Exceptional (3)</w:t>
      </w:r>
    </w:p>
    <w:p w14:paraId="5A03661B" w14:textId="77777777" w:rsidR="00D83280" w:rsidRPr="00403DD3" w:rsidRDefault="00D83280" w:rsidP="00D83280">
      <w:pPr>
        <w:pStyle w:val="ListParagraph"/>
        <w:numPr>
          <w:ilvl w:val="0"/>
          <w:numId w:val="13"/>
        </w:numPr>
        <w:rPr>
          <w:rFonts w:cstheme="minorHAnsi"/>
        </w:rPr>
      </w:pPr>
      <w:r w:rsidRPr="00403DD3">
        <w:rPr>
          <w:rFonts w:cstheme="minorHAnsi"/>
        </w:rPr>
        <w:t>There are two items on a Yes/No scale.</w:t>
      </w:r>
    </w:p>
    <w:p w14:paraId="4F70F6F2" w14:textId="77777777" w:rsidR="00D83280" w:rsidRPr="00403DD3" w:rsidRDefault="00D83280" w:rsidP="00D83280">
      <w:pPr>
        <w:pStyle w:val="ListParagraph"/>
        <w:numPr>
          <w:ilvl w:val="0"/>
          <w:numId w:val="13"/>
        </w:numPr>
        <w:rPr>
          <w:rFonts w:cstheme="minorHAnsi"/>
        </w:rPr>
      </w:pPr>
      <w:r w:rsidRPr="00403DD3">
        <w:rPr>
          <w:rFonts w:cstheme="minorHAnsi"/>
        </w:rPr>
        <w:t xml:space="preserve">There are five sections identifying each of the BYU-Public School Partnership Commitments under which the USBE Educator Preparation Program General Teacher Preparation Competencies are listed.  </w:t>
      </w:r>
    </w:p>
    <w:p w14:paraId="3BBE7349" w14:textId="77777777" w:rsidR="00D83280" w:rsidRPr="00403DD3" w:rsidRDefault="00D83280" w:rsidP="00D83280">
      <w:pPr>
        <w:pStyle w:val="ListParagraph"/>
        <w:numPr>
          <w:ilvl w:val="0"/>
          <w:numId w:val="13"/>
        </w:numPr>
        <w:rPr>
          <w:rFonts w:cstheme="minorHAnsi"/>
        </w:rPr>
      </w:pPr>
      <w:r w:rsidRPr="00403DD3">
        <w:rPr>
          <w:rFonts w:cstheme="minorHAnsi"/>
        </w:rPr>
        <w:lastRenderedPageBreak/>
        <w:t>There are five sections in which the Mentor Teacher/University Supervisor consider</w:t>
      </w:r>
      <w:r>
        <w:rPr>
          <w:rFonts w:cstheme="minorHAnsi"/>
        </w:rPr>
        <w:t>s</w:t>
      </w:r>
      <w:r w:rsidRPr="00403DD3">
        <w:rPr>
          <w:rFonts w:cstheme="minorHAnsi"/>
        </w:rPr>
        <w:t xml:space="preserve"> the competencies and commitment for each section and </w:t>
      </w:r>
      <w:r>
        <w:rPr>
          <w:rFonts w:cstheme="minorHAnsi"/>
        </w:rPr>
        <w:t>gives feedback to</w:t>
      </w:r>
      <w:r w:rsidRPr="00403DD3">
        <w:rPr>
          <w:rFonts w:cstheme="minorHAnsi"/>
        </w:rPr>
        <w:t xml:space="preserve"> the teacher candidat</w:t>
      </w:r>
      <w:r>
        <w:rPr>
          <w:rFonts w:cstheme="minorHAnsi"/>
        </w:rPr>
        <w:t>e</w:t>
      </w:r>
      <w:r w:rsidRPr="00403DD3">
        <w:rPr>
          <w:rFonts w:cstheme="minorHAnsi"/>
        </w:rPr>
        <w:t>.</w:t>
      </w:r>
    </w:p>
    <w:p w14:paraId="14599B67" w14:textId="77777777" w:rsidR="00D83280" w:rsidRPr="00403DD3" w:rsidRDefault="00D83280" w:rsidP="00D83280">
      <w:pPr>
        <w:pStyle w:val="ListParagraph"/>
        <w:numPr>
          <w:ilvl w:val="0"/>
          <w:numId w:val="13"/>
        </w:numPr>
        <w:rPr>
          <w:rFonts w:cstheme="minorHAnsi"/>
        </w:rPr>
      </w:pPr>
      <w:r w:rsidRPr="00403DD3">
        <w:rPr>
          <w:rFonts w:cstheme="minorHAnsi"/>
        </w:rPr>
        <w:t xml:space="preserve">There are five sections in which the Teacher Candidate reflects on the aspects of the BYU-Public School Partnership commitment, the competencies within that section, and the mission of BYU as it relates to their teaching experience. </w:t>
      </w:r>
    </w:p>
    <w:p w14:paraId="4CAB76C3" w14:textId="77777777" w:rsidR="00D83280" w:rsidRPr="00403DD3" w:rsidRDefault="00D83280" w:rsidP="00D83280">
      <w:pPr>
        <w:rPr>
          <w:rFonts w:cstheme="minorHAnsi"/>
        </w:rPr>
      </w:pPr>
    </w:p>
    <w:p w14:paraId="68F80774" w14:textId="77777777" w:rsidR="00D83280" w:rsidRPr="00200820" w:rsidRDefault="00D83280" w:rsidP="00D83280">
      <w:pPr>
        <w:rPr>
          <w:rFonts w:cstheme="minorHAnsi"/>
          <w:b/>
          <w:color w:val="FF0000"/>
          <w:u w:val="single"/>
        </w:rPr>
      </w:pPr>
      <w:r w:rsidRPr="00200820">
        <w:rPr>
          <w:rFonts w:cstheme="minorHAnsi"/>
          <w:b/>
          <w:u w:val="single"/>
        </w:rPr>
        <w:t>Scoring</w:t>
      </w:r>
    </w:p>
    <w:p w14:paraId="0E42ED92" w14:textId="29C90F77" w:rsidR="00D83280" w:rsidRPr="00200820" w:rsidRDefault="00D83280" w:rsidP="00D83280">
      <w:pPr>
        <w:rPr>
          <w:rFonts w:cstheme="minorHAnsi"/>
          <w:b/>
          <w:bCs/>
        </w:rPr>
      </w:pPr>
      <w:r w:rsidRPr="00200820">
        <w:rPr>
          <w:rFonts w:cstheme="minorHAnsi"/>
          <w:b/>
          <w:bCs/>
        </w:rPr>
        <w:t>Practicum</w:t>
      </w:r>
    </w:p>
    <w:p w14:paraId="38A0BA41" w14:textId="77777777" w:rsidR="00D83280" w:rsidRPr="00200820" w:rsidRDefault="00D83280" w:rsidP="00200820">
      <w:pPr>
        <w:rPr>
          <w:rFonts w:cstheme="minorHAnsi"/>
          <w:b/>
          <w:color w:val="000000" w:themeColor="text1"/>
        </w:rPr>
      </w:pPr>
      <w:r w:rsidRPr="00200820">
        <w:rPr>
          <w:rFonts w:cstheme="minorHAnsi"/>
        </w:rPr>
        <w:t xml:space="preserve">During the practicum experience it is expected that candidates will score in the following two categories: </w:t>
      </w:r>
    </w:p>
    <w:p w14:paraId="399E6160" w14:textId="77777777" w:rsidR="00200820" w:rsidRPr="00200820" w:rsidRDefault="00D83280" w:rsidP="00200820">
      <w:pPr>
        <w:pStyle w:val="ListParagraph"/>
        <w:numPr>
          <w:ilvl w:val="0"/>
          <w:numId w:val="18"/>
        </w:numPr>
        <w:rPr>
          <w:rFonts w:cstheme="minorHAnsi"/>
          <w:b/>
          <w:color w:val="000000" w:themeColor="text1"/>
        </w:rPr>
      </w:pPr>
      <w:r w:rsidRPr="00200820">
        <w:rPr>
          <w:rFonts w:cstheme="minorHAnsi"/>
          <w:color w:val="000000" w:themeColor="text1"/>
        </w:rPr>
        <w:t>Not Effective (0)</w:t>
      </w:r>
    </w:p>
    <w:p w14:paraId="6FFAB9BD" w14:textId="77777777" w:rsidR="00200820" w:rsidRPr="00200820" w:rsidRDefault="00D83280" w:rsidP="00200820">
      <w:pPr>
        <w:pStyle w:val="ListParagraph"/>
        <w:numPr>
          <w:ilvl w:val="0"/>
          <w:numId w:val="18"/>
        </w:numPr>
        <w:rPr>
          <w:rFonts w:cstheme="minorHAnsi"/>
          <w:b/>
          <w:color w:val="000000" w:themeColor="text1"/>
        </w:rPr>
      </w:pPr>
      <w:r w:rsidRPr="00200820">
        <w:rPr>
          <w:rFonts w:cstheme="minorHAnsi"/>
          <w:color w:val="000000" w:themeColor="text1"/>
        </w:rPr>
        <w:t>Beginning (</w:t>
      </w:r>
      <w:r w:rsidRPr="00200820">
        <w:rPr>
          <w:rFonts w:cstheme="minorHAnsi"/>
        </w:rPr>
        <w:t>1)</w:t>
      </w:r>
    </w:p>
    <w:p w14:paraId="79A5E632" w14:textId="1C114089" w:rsidR="00E957F9" w:rsidRPr="00E957F9" w:rsidRDefault="00D83280" w:rsidP="00E957F9">
      <w:pPr>
        <w:pStyle w:val="ListParagraph"/>
        <w:numPr>
          <w:ilvl w:val="0"/>
          <w:numId w:val="18"/>
        </w:numPr>
        <w:rPr>
          <w:rFonts w:cstheme="minorHAnsi"/>
          <w:b/>
          <w:color w:val="000000" w:themeColor="text1"/>
        </w:rPr>
      </w:pPr>
      <w:r w:rsidRPr="00200820">
        <w:rPr>
          <w:rFonts w:cstheme="minorHAnsi"/>
        </w:rPr>
        <w:t>“Demonstrates Competency (2)” and “Exceptional (3)” may also be marked but are not expected</w:t>
      </w:r>
      <w:r w:rsidR="005D533F">
        <w:rPr>
          <w:rFonts w:cstheme="minorHAnsi"/>
        </w:rPr>
        <w:t>.</w:t>
      </w:r>
      <w:r w:rsidRPr="00200820">
        <w:rPr>
          <w:rFonts w:cstheme="minorHAnsi"/>
        </w:rPr>
        <w:t xml:space="preserve"> </w:t>
      </w:r>
    </w:p>
    <w:p w14:paraId="5D5901A6" w14:textId="25459A13" w:rsidR="00D83280" w:rsidRPr="00E957F9" w:rsidRDefault="00200820" w:rsidP="00E957F9">
      <w:pPr>
        <w:rPr>
          <w:rFonts w:cstheme="minorHAnsi"/>
          <w:b/>
          <w:color w:val="000000" w:themeColor="text1"/>
        </w:rPr>
      </w:pPr>
      <w:r w:rsidRPr="00E957F9">
        <w:rPr>
          <w:rFonts w:cstheme="minorHAnsi"/>
        </w:rPr>
        <w:t>If the candidate is struggling and not meeting expectations, a</w:t>
      </w:r>
      <w:r w:rsidR="005D533F">
        <w:rPr>
          <w:rFonts w:cstheme="minorHAnsi"/>
        </w:rPr>
        <w:t xml:space="preserve"> </w:t>
      </w:r>
      <w:r w:rsidRPr="00E957F9">
        <w:rPr>
          <w:rFonts w:cstheme="minorHAnsi"/>
        </w:rPr>
        <w:t>remediation plan</w:t>
      </w:r>
      <w:r w:rsidR="005D533F">
        <w:rPr>
          <w:rFonts w:cstheme="minorHAnsi"/>
        </w:rPr>
        <w:t xml:space="preserve"> is created,</w:t>
      </w:r>
      <w:r w:rsidRPr="00E957F9">
        <w:rPr>
          <w:rFonts w:cstheme="minorHAnsi"/>
        </w:rPr>
        <w:t xml:space="preserve"> and the student’s progress</w:t>
      </w:r>
      <w:r w:rsidR="005D533F">
        <w:rPr>
          <w:rFonts w:cstheme="minorHAnsi"/>
        </w:rPr>
        <w:t xml:space="preserve"> is monitored</w:t>
      </w:r>
      <w:r w:rsidR="001960C3" w:rsidRPr="00E957F9">
        <w:rPr>
          <w:rFonts w:cstheme="minorHAnsi"/>
        </w:rPr>
        <w:t>.</w:t>
      </w:r>
      <w:r w:rsidRPr="00E957F9">
        <w:rPr>
          <w:rFonts w:cstheme="minorHAnsi"/>
        </w:rPr>
        <w:t xml:space="preserve">  </w:t>
      </w:r>
    </w:p>
    <w:p w14:paraId="3AA11831" w14:textId="77777777" w:rsidR="00D83280" w:rsidRDefault="00D83280" w:rsidP="00D83280">
      <w:pPr>
        <w:rPr>
          <w:rFonts w:cstheme="minorHAnsi"/>
        </w:rPr>
      </w:pPr>
    </w:p>
    <w:p w14:paraId="5129F64D" w14:textId="77777777" w:rsidR="00D83280" w:rsidRPr="00200820" w:rsidRDefault="00D83280" w:rsidP="00D83280">
      <w:pPr>
        <w:rPr>
          <w:rFonts w:cstheme="minorHAnsi"/>
          <w:b/>
          <w:bCs/>
        </w:rPr>
      </w:pPr>
      <w:r w:rsidRPr="00200820">
        <w:rPr>
          <w:rFonts w:cstheme="minorHAnsi"/>
          <w:b/>
          <w:bCs/>
        </w:rPr>
        <w:t>Final Field Experience</w:t>
      </w:r>
    </w:p>
    <w:p w14:paraId="7310C7FC" w14:textId="77777777" w:rsidR="001960C3" w:rsidRDefault="00D83280" w:rsidP="001960C3">
      <w:pPr>
        <w:pStyle w:val="ListParagraph"/>
        <w:numPr>
          <w:ilvl w:val="0"/>
          <w:numId w:val="19"/>
        </w:numPr>
        <w:rPr>
          <w:rFonts w:cstheme="minorHAnsi"/>
        </w:rPr>
      </w:pPr>
      <w:r w:rsidRPr="001960C3">
        <w:rPr>
          <w:rFonts w:cstheme="minorHAnsi"/>
        </w:rPr>
        <w:t xml:space="preserve">During the final field experience, student teaching or internship, the candidate must score in the “Demonstrates Competency (2)” column for all items in this column and must receive all “Yes” marks for the two “Yes/No” items.  </w:t>
      </w:r>
    </w:p>
    <w:p w14:paraId="18C092E5" w14:textId="2233C1BD" w:rsidR="001960C3" w:rsidRPr="001960C3" w:rsidRDefault="00D83280" w:rsidP="001960C3">
      <w:pPr>
        <w:pStyle w:val="ListParagraph"/>
        <w:numPr>
          <w:ilvl w:val="0"/>
          <w:numId w:val="19"/>
        </w:numPr>
        <w:rPr>
          <w:rFonts w:cstheme="minorHAnsi"/>
        </w:rPr>
      </w:pPr>
      <w:r w:rsidRPr="001960C3">
        <w:rPr>
          <w:rFonts w:cstheme="minorHAnsi"/>
        </w:rPr>
        <w:t xml:space="preserve">Candidates can score “Exceptional (3)” during their final field </w:t>
      </w:r>
      <w:r w:rsidR="001960C3" w:rsidRPr="001960C3">
        <w:rPr>
          <w:rFonts w:cstheme="minorHAnsi"/>
        </w:rPr>
        <w:t>experience,</w:t>
      </w:r>
      <w:r w:rsidR="001960C3">
        <w:rPr>
          <w:rFonts w:cstheme="minorHAnsi"/>
        </w:rPr>
        <w:t xml:space="preserve"> but they must </w:t>
      </w:r>
      <w:r w:rsidR="001960C3" w:rsidRPr="001960C3">
        <w:rPr>
          <w:rFonts w:cstheme="minorHAnsi"/>
        </w:rPr>
        <w:t xml:space="preserve">demonstrate they are meeting all the requirements in “Demonstrates Competency (2)” </w:t>
      </w:r>
      <w:r w:rsidR="001960C3" w:rsidRPr="001960C3">
        <w:rPr>
          <w:rFonts w:cstheme="minorHAnsi"/>
          <w:b/>
          <w:bCs/>
        </w:rPr>
        <w:t xml:space="preserve">AND </w:t>
      </w:r>
      <w:r w:rsidR="001960C3" w:rsidRPr="001960C3">
        <w:rPr>
          <w:rFonts w:cstheme="minorHAnsi"/>
        </w:rPr>
        <w:t>the requirements in “Exceptional (3)”.</w:t>
      </w:r>
    </w:p>
    <w:p w14:paraId="51DAD465" w14:textId="75FC2A17" w:rsidR="00D83280" w:rsidRPr="001960C3" w:rsidRDefault="00D83280" w:rsidP="001960C3">
      <w:pPr>
        <w:pStyle w:val="ListParagraph"/>
        <w:numPr>
          <w:ilvl w:val="0"/>
          <w:numId w:val="19"/>
        </w:numPr>
        <w:rPr>
          <w:rFonts w:cstheme="minorHAnsi"/>
        </w:rPr>
      </w:pPr>
      <w:r w:rsidRPr="001960C3">
        <w:rPr>
          <w:rFonts w:cstheme="minorHAnsi"/>
        </w:rPr>
        <w:t xml:space="preserve">To pass their final field experience </w:t>
      </w:r>
      <w:r w:rsidR="001960C3">
        <w:rPr>
          <w:rFonts w:cstheme="minorHAnsi"/>
        </w:rPr>
        <w:t xml:space="preserve">and be recommended for licensure, </w:t>
      </w:r>
      <w:r w:rsidRPr="001960C3">
        <w:rPr>
          <w:rFonts w:cstheme="minorHAnsi"/>
        </w:rPr>
        <w:t>the</w:t>
      </w:r>
      <w:r w:rsidR="001960C3">
        <w:rPr>
          <w:rFonts w:cstheme="minorHAnsi"/>
        </w:rPr>
        <w:t xml:space="preserve"> candidate can</w:t>
      </w:r>
      <w:r w:rsidRPr="001960C3">
        <w:rPr>
          <w:rFonts w:cstheme="minorHAnsi"/>
        </w:rPr>
        <w:t xml:space="preserve">not receive a score of “Not Effective (0)”, “Beginning (1)” or “No” on any item in the rubric.  </w:t>
      </w:r>
    </w:p>
    <w:p w14:paraId="39D76B2B" w14:textId="77777777" w:rsidR="001960C3" w:rsidRDefault="001960C3" w:rsidP="00675C17">
      <w:pPr>
        <w:rPr>
          <w:b/>
          <w:bCs/>
        </w:rPr>
      </w:pPr>
    </w:p>
    <w:p w14:paraId="7BC95373" w14:textId="013D37C0" w:rsidR="00675C17" w:rsidRPr="001960C3" w:rsidRDefault="001960C3" w:rsidP="00675C17">
      <w:pPr>
        <w:rPr>
          <w:b/>
          <w:bCs/>
          <w:u w:val="single"/>
        </w:rPr>
      </w:pPr>
      <w:r w:rsidRPr="001960C3">
        <w:rPr>
          <w:b/>
          <w:bCs/>
          <w:u w:val="single"/>
        </w:rPr>
        <w:t>Formative and Summative Evaluations</w:t>
      </w:r>
    </w:p>
    <w:p w14:paraId="51739FE6" w14:textId="5BCA1B70" w:rsidR="001960C3" w:rsidRPr="001960C3" w:rsidRDefault="001960C3" w:rsidP="00675C17">
      <w:pPr>
        <w:rPr>
          <w:b/>
          <w:bCs/>
        </w:rPr>
      </w:pPr>
      <w:r w:rsidRPr="001960C3">
        <w:rPr>
          <w:b/>
          <w:bCs/>
        </w:rPr>
        <w:t>Formative Assessments</w:t>
      </w:r>
      <w:r>
        <w:rPr>
          <w:b/>
          <w:bCs/>
        </w:rPr>
        <w:t>:</w:t>
      </w:r>
    </w:p>
    <w:p w14:paraId="759357D0" w14:textId="789D9BEC" w:rsidR="00675C17" w:rsidRDefault="00675C17" w:rsidP="00675C17">
      <w:r>
        <w:t>Majors</w:t>
      </w:r>
    </w:p>
    <w:p w14:paraId="4DC1618A" w14:textId="46AC944C" w:rsidR="007A7D2B" w:rsidRDefault="00000000" w:rsidP="007A7D2B">
      <w:pPr>
        <w:numPr>
          <w:ilvl w:val="0"/>
          <w:numId w:val="20"/>
        </w:numPr>
      </w:pPr>
      <w:r w:rsidRPr="00510D5B">
        <w:t xml:space="preserve">Four formative assessments using the BYU Professional Teacher Candidate </w:t>
      </w:r>
      <w:r w:rsidR="007D70B7">
        <w:t>Assessment</w:t>
      </w:r>
      <w:r w:rsidRPr="00510D5B">
        <w:t xml:space="preserve"> will be administered, giving feedback with each formative evaluation.  For a formative assessment not all items on the rubric must be marked, but by the end of the fourth formative assessment the evaluator must ensure that</w:t>
      </w:r>
      <w:r w:rsidR="007A7D2B">
        <w:t xml:space="preserve"> the candidate has demonstrated competency in all areas.</w:t>
      </w:r>
    </w:p>
    <w:p w14:paraId="07E9F151" w14:textId="21F9879A" w:rsidR="00675C17" w:rsidRDefault="00675C17" w:rsidP="00675C17">
      <w:r>
        <w:t>Minors</w:t>
      </w:r>
    </w:p>
    <w:p w14:paraId="02B3708C" w14:textId="044470A4" w:rsidR="00414410" w:rsidRPr="00414410" w:rsidRDefault="00414410" w:rsidP="00414410">
      <w:pPr>
        <w:numPr>
          <w:ilvl w:val="0"/>
          <w:numId w:val="21"/>
        </w:numPr>
      </w:pPr>
      <w:r w:rsidRPr="00414410">
        <w:t xml:space="preserve">Two formative assessments using the BYU Professional Teacher Candidate </w:t>
      </w:r>
      <w:r w:rsidR="00E9357E">
        <w:t>Assessment</w:t>
      </w:r>
      <w:r w:rsidRPr="00414410">
        <w:t xml:space="preserve"> will be administered, giving feedback with each formative evaluation.  By the end of the second formative assessment the evaluator must ensure that the candidate has demonstrated competency in all areas.</w:t>
      </w:r>
    </w:p>
    <w:p w14:paraId="4AC716D6" w14:textId="77777777" w:rsidR="001960C3" w:rsidRDefault="001960C3" w:rsidP="004B18E3">
      <w:pPr>
        <w:rPr>
          <w:b/>
          <w:bCs/>
        </w:rPr>
      </w:pPr>
    </w:p>
    <w:p w14:paraId="66243E67" w14:textId="35F673D9" w:rsidR="004B18E3" w:rsidRDefault="004B18E3" w:rsidP="004B18E3">
      <w:r w:rsidRPr="00675C17">
        <w:rPr>
          <w:b/>
          <w:bCs/>
        </w:rPr>
        <w:t xml:space="preserve">Summative </w:t>
      </w:r>
      <w:r w:rsidR="00286EFC">
        <w:rPr>
          <w:b/>
          <w:bCs/>
        </w:rPr>
        <w:t>Evaluations</w:t>
      </w:r>
      <w:r>
        <w:t xml:space="preserve">: </w:t>
      </w:r>
    </w:p>
    <w:p w14:paraId="4CBA2A0D" w14:textId="6C9A26E4" w:rsidR="000C039A" w:rsidRPr="000C039A" w:rsidRDefault="000C039A" w:rsidP="000C039A">
      <w:pPr>
        <w:pStyle w:val="ListParagraph"/>
        <w:numPr>
          <w:ilvl w:val="0"/>
          <w:numId w:val="12"/>
        </w:numPr>
        <w:rPr>
          <w:rFonts w:cstheme="minorHAnsi"/>
        </w:rPr>
      </w:pPr>
      <w:r>
        <w:rPr>
          <w:rFonts w:cstheme="minorHAnsi"/>
        </w:rPr>
        <w:lastRenderedPageBreak/>
        <w:t xml:space="preserve">For the final field experience (student teaching or internship) the teacher candidate will fill out a self-evaluation </w:t>
      </w:r>
      <w:r w:rsidRPr="004B18E3">
        <w:rPr>
          <w:rFonts w:cstheme="minorHAnsi"/>
        </w:rPr>
        <w:t xml:space="preserve">in Educator by marking all items of the BYU Professional Teacher Candidate </w:t>
      </w:r>
      <w:r>
        <w:rPr>
          <w:rFonts w:cstheme="minorHAnsi"/>
        </w:rPr>
        <w:t>Assessment</w:t>
      </w:r>
      <w:r w:rsidRPr="004B18E3">
        <w:rPr>
          <w:rFonts w:cstheme="minorHAnsi"/>
        </w:rPr>
        <w:t xml:space="preserve"> and</w:t>
      </w:r>
      <w:r>
        <w:rPr>
          <w:rFonts w:cstheme="minorHAnsi"/>
        </w:rPr>
        <w:t xml:space="preserve"> </w:t>
      </w:r>
      <w:r w:rsidR="00735C95">
        <w:rPr>
          <w:rFonts w:cstheme="minorHAnsi"/>
        </w:rPr>
        <w:t>providing a reflection in</w:t>
      </w:r>
      <w:r>
        <w:rPr>
          <w:rFonts w:cstheme="minorHAnsi"/>
        </w:rPr>
        <w:t xml:space="preserve"> each BYU</w:t>
      </w:r>
      <w:r w:rsidR="00735C95">
        <w:rPr>
          <w:rFonts w:cstheme="minorHAnsi"/>
        </w:rPr>
        <w:t>-</w:t>
      </w:r>
      <w:r>
        <w:rPr>
          <w:rFonts w:cstheme="minorHAnsi"/>
        </w:rPr>
        <w:t xml:space="preserve">Public School Partnership </w:t>
      </w:r>
      <w:r w:rsidR="00735C95">
        <w:rPr>
          <w:rFonts w:cstheme="minorHAnsi"/>
        </w:rPr>
        <w:t>Commitment in</w:t>
      </w:r>
      <w:r>
        <w:rPr>
          <w:rFonts w:cstheme="minorHAnsi"/>
        </w:rPr>
        <w:t xml:space="preserve"> </w:t>
      </w:r>
      <w:r w:rsidRPr="004B18E3">
        <w:rPr>
          <w:rFonts w:cstheme="minorHAnsi"/>
        </w:rPr>
        <w:t>the</w:t>
      </w:r>
      <w:r w:rsidR="00735C95">
        <w:rPr>
          <w:rFonts w:cstheme="minorHAnsi"/>
        </w:rPr>
        <w:t xml:space="preserve"> </w:t>
      </w:r>
      <w:r>
        <w:rPr>
          <w:rFonts w:cstheme="minorHAnsi"/>
        </w:rPr>
        <w:t>Teacher Candidate</w:t>
      </w:r>
      <w:r w:rsidRPr="004B18E3">
        <w:rPr>
          <w:rFonts w:cstheme="minorHAnsi"/>
        </w:rPr>
        <w:t xml:space="preserve"> </w:t>
      </w:r>
      <w:r>
        <w:rPr>
          <w:rFonts w:cstheme="minorHAnsi"/>
        </w:rPr>
        <w:t xml:space="preserve">reflection </w:t>
      </w:r>
      <w:r w:rsidRPr="004B18E3">
        <w:rPr>
          <w:rFonts w:cstheme="minorHAnsi"/>
        </w:rPr>
        <w:t>section</w:t>
      </w:r>
      <w:r w:rsidR="00735C95">
        <w:rPr>
          <w:rFonts w:cstheme="minorHAnsi"/>
        </w:rPr>
        <w:t>.</w:t>
      </w:r>
      <w:r w:rsidRPr="004B18E3">
        <w:rPr>
          <w:rFonts w:cstheme="minorHAnsi"/>
        </w:rPr>
        <w:t xml:space="preserve"> </w:t>
      </w:r>
    </w:p>
    <w:p w14:paraId="7A90DD0E" w14:textId="54CE9EFC" w:rsidR="00732C9C" w:rsidRDefault="00735C95" w:rsidP="00732C9C">
      <w:pPr>
        <w:pStyle w:val="ListParagraph"/>
        <w:numPr>
          <w:ilvl w:val="0"/>
          <w:numId w:val="12"/>
        </w:numPr>
        <w:rPr>
          <w:rFonts w:cstheme="minorHAnsi"/>
        </w:rPr>
      </w:pPr>
      <w:r>
        <w:rPr>
          <w:rFonts w:cstheme="minorHAnsi"/>
        </w:rPr>
        <w:t>T</w:t>
      </w:r>
      <w:r w:rsidR="00732C9C">
        <w:rPr>
          <w:rFonts w:cstheme="minorHAnsi"/>
        </w:rPr>
        <w:t xml:space="preserve">he mentor teacher will fill out a summative </w:t>
      </w:r>
      <w:r w:rsidR="00286EFC">
        <w:rPr>
          <w:rFonts w:cstheme="minorHAnsi"/>
        </w:rPr>
        <w:t>evaluation</w:t>
      </w:r>
      <w:r w:rsidR="00732C9C">
        <w:rPr>
          <w:rFonts w:cstheme="minorHAnsi"/>
        </w:rPr>
        <w:t xml:space="preserve"> </w:t>
      </w:r>
      <w:r w:rsidR="00732C9C" w:rsidRPr="004B18E3">
        <w:rPr>
          <w:rFonts w:cstheme="minorHAnsi"/>
        </w:rPr>
        <w:t xml:space="preserve">in Educator </w:t>
      </w:r>
      <w:r>
        <w:rPr>
          <w:rFonts w:cstheme="minorHAnsi"/>
        </w:rPr>
        <w:t xml:space="preserve">for the final field experience </w:t>
      </w:r>
      <w:r w:rsidR="00732C9C" w:rsidRPr="004B18E3">
        <w:rPr>
          <w:rFonts w:cstheme="minorHAnsi"/>
        </w:rPr>
        <w:t xml:space="preserve">by marking all items of the BYU Professional Teacher Candidate </w:t>
      </w:r>
      <w:r w:rsidR="008A39D4">
        <w:rPr>
          <w:rFonts w:cstheme="minorHAnsi"/>
        </w:rPr>
        <w:t>Assessment</w:t>
      </w:r>
      <w:r w:rsidR="00732C9C" w:rsidRPr="004B18E3">
        <w:rPr>
          <w:rFonts w:cstheme="minorHAnsi"/>
        </w:rPr>
        <w:t xml:space="preserve"> and providing feedback in the Summary Statement section. When marking the rubric, it is important that evidence is provided of application or demonstration of the </w:t>
      </w:r>
      <w:r w:rsidR="00286EFC">
        <w:rPr>
          <w:rFonts w:cstheme="minorHAnsi"/>
        </w:rPr>
        <w:t>competencies</w:t>
      </w:r>
      <w:r w:rsidR="00732C9C" w:rsidRPr="004B18E3">
        <w:rPr>
          <w:rFonts w:cstheme="minorHAnsi"/>
        </w:rPr>
        <w:t xml:space="preserve"> listed.</w:t>
      </w:r>
    </w:p>
    <w:p w14:paraId="06E79F35" w14:textId="45ABF77C" w:rsidR="004B18E3" w:rsidRDefault="004B18E3" w:rsidP="004B18E3">
      <w:pPr>
        <w:pStyle w:val="ListParagraph"/>
        <w:numPr>
          <w:ilvl w:val="0"/>
          <w:numId w:val="12"/>
        </w:numPr>
        <w:rPr>
          <w:rFonts w:cstheme="minorHAnsi"/>
        </w:rPr>
      </w:pPr>
      <w:r w:rsidRPr="004B18E3">
        <w:rPr>
          <w:rFonts w:cstheme="minorHAnsi"/>
        </w:rPr>
        <w:t xml:space="preserve">A summative </w:t>
      </w:r>
      <w:r w:rsidR="00286EFC">
        <w:rPr>
          <w:rFonts w:cstheme="minorHAnsi"/>
        </w:rPr>
        <w:t>evaluation</w:t>
      </w:r>
      <w:r w:rsidRPr="004B18E3">
        <w:rPr>
          <w:rFonts w:cstheme="minorHAnsi"/>
        </w:rPr>
        <w:t xml:space="preserve"> for each field experience (i.e., practicum, student teaching, internship) will be completed by the</w:t>
      </w:r>
      <w:r>
        <w:rPr>
          <w:rFonts w:cstheme="minorHAnsi"/>
        </w:rPr>
        <w:t xml:space="preserve"> </w:t>
      </w:r>
      <w:r w:rsidRPr="004B18E3">
        <w:rPr>
          <w:rFonts w:cstheme="minorHAnsi"/>
        </w:rPr>
        <w:t xml:space="preserve">university supervisor in Educator by marking all items of the BYU Professional Teacher Candidate </w:t>
      </w:r>
      <w:r w:rsidR="008A39D4">
        <w:rPr>
          <w:rFonts w:cstheme="minorHAnsi"/>
        </w:rPr>
        <w:t>Assessment</w:t>
      </w:r>
      <w:r w:rsidRPr="004B18E3">
        <w:rPr>
          <w:rFonts w:cstheme="minorHAnsi"/>
        </w:rPr>
        <w:t xml:space="preserve"> and providing feedback in the Summary Statement section. When marking the rubric, it is important that evidence is provided of application or demonstration of the </w:t>
      </w:r>
      <w:r w:rsidR="00732C9C">
        <w:rPr>
          <w:rFonts w:cstheme="minorHAnsi"/>
        </w:rPr>
        <w:t>competencies</w:t>
      </w:r>
      <w:r w:rsidRPr="004B18E3">
        <w:rPr>
          <w:rFonts w:cstheme="minorHAnsi"/>
        </w:rPr>
        <w:t xml:space="preserve"> listed.</w:t>
      </w:r>
      <w:r w:rsidR="00732C9C">
        <w:rPr>
          <w:rFonts w:cstheme="minorHAnsi"/>
        </w:rPr>
        <w:t xml:space="preserve">  Mentor Teacher summative evaluations will be taken into consideration as the university supervisor completes the summative </w:t>
      </w:r>
      <w:r w:rsidR="00286EFC">
        <w:rPr>
          <w:rFonts w:cstheme="minorHAnsi"/>
        </w:rPr>
        <w:t>evaluation</w:t>
      </w:r>
      <w:r w:rsidR="00732C9C">
        <w:rPr>
          <w:rFonts w:cstheme="minorHAnsi"/>
        </w:rPr>
        <w:t xml:space="preserve"> for student teachers or interns. </w:t>
      </w:r>
    </w:p>
    <w:p w14:paraId="44E14FB9" w14:textId="16A7E99D" w:rsidR="004B18E3" w:rsidRDefault="00732C9C" w:rsidP="004B18E3">
      <w:pPr>
        <w:pStyle w:val="ListParagraph"/>
        <w:numPr>
          <w:ilvl w:val="0"/>
          <w:numId w:val="12"/>
        </w:numPr>
      </w:pPr>
      <w:r>
        <w:t>University supervisors s</w:t>
      </w:r>
      <w:r w:rsidR="004B18E3">
        <w:t xml:space="preserve">ummative BYU Professional Teacher Candidate </w:t>
      </w:r>
      <w:r w:rsidR="008A39D4">
        <w:t>Assessment</w:t>
      </w:r>
      <w:r w:rsidR="004B18E3">
        <w:t xml:space="preserve"> will be</w:t>
      </w:r>
      <w:r>
        <w:t xml:space="preserve"> completed around</w:t>
      </w:r>
      <w:r w:rsidR="004B18E3">
        <w:t xml:space="preserve"> the 14</w:t>
      </w:r>
      <w:r w:rsidR="004B18E3" w:rsidRPr="00675C17">
        <w:rPr>
          <w:vertAlign w:val="superscript"/>
        </w:rPr>
        <w:t>th</w:t>
      </w:r>
      <w:r w:rsidR="004B18E3">
        <w:t xml:space="preserve"> Friday of the semester (Fall or Winter) and the 7</w:t>
      </w:r>
      <w:r w:rsidR="004B18E3" w:rsidRPr="00675C17">
        <w:rPr>
          <w:vertAlign w:val="superscript"/>
        </w:rPr>
        <w:t>th</w:t>
      </w:r>
      <w:r w:rsidR="004B18E3">
        <w:t xml:space="preserve"> Friday of a term (Spring or Summer) for each clinical experience (practicum, student teaching or internship) and will be entered into the Educator System before the end of the semester or term for each clinical experience.  </w:t>
      </w:r>
    </w:p>
    <w:p w14:paraId="3D9E45B2" w14:textId="77777777" w:rsidR="00675C17" w:rsidRDefault="00675C17" w:rsidP="00675C17">
      <w:pPr>
        <w:rPr>
          <w:rFonts w:cstheme="minorHAnsi"/>
        </w:rPr>
      </w:pPr>
    </w:p>
    <w:p w14:paraId="7BE49F98" w14:textId="77777777" w:rsidR="00675C17" w:rsidRPr="001960C3" w:rsidRDefault="00675C17" w:rsidP="00675C17">
      <w:pPr>
        <w:rPr>
          <w:rFonts w:cstheme="minorHAnsi"/>
          <w:b/>
          <w:bCs/>
        </w:rPr>
      </w:pPr>
      <w:r w:rsidRPr="001960C3">
        <w:rPr>
          <w:rFonts w:cstheme="minorHAnsi"/>
          <w:b/>
          <w:bCs/>
        </w:rPr>
        <w:t>Required Number of Observations and Evaluations:</w:t>
      </w:r>
    </w:p>
    <w:tbl>
      <w:tblPr>
        <w:tblStyle w:val="TableGrid"/>
        <w:tblW w:w="10345" w:type="dxa"/>
        <w:tblLook w:val="04A0" w:firstRow="1" w:lastRow="0" w:firstColumn="1" w:lastColumn="0" w:noHBand="0" w:noVBand="1"/>
      </w:tblPr>
      <w:tblGrid>
        <w:gridCol w:w="1724"/>
        <w:gridCol w:w="1610"/>
        <w:gridCol w:w="1611"/>
        <w:gridCol w:w="1951"/>
        <w:gridCol w:w="1724"/>
        <w:gridCol w:w="1725"/>
      </w:tblGrid>
      <w:tr w:rsidR="00675C17" w14:paraId="228E5DAF" w14:textId="77777777" w:rsidTr="00591960">
        <w:tc>
          <w:tcPr>
            <w:tcW w:w="1724" w:type="dxa"/>
          </w:tcPr>
          <w:p w14:paraId="0CCB7392" w14:textId="77777777" w:rsidR="00675C17" w:rsidRDefault="00675C17" w:rsidP="00591960">
            <w:pPr>
              <w:rPr>
                <w:rFonts w:cstheme="minorHAnsi"/>
              </w:rPr>
            </w:pPr>
          </w:p>
        </w:tc>
        <w:tc>
          <w:tcPr>
            <w:tcW w:w="1610" w:type="dxa"/>
          </w:tcPr>
          <w:p w14:paraId="741D6A59" w14:textId="77777777" w:rsidR="00675C17" w:rsidRPr="004142D3" w:rsidRDefault="00675C17" w:rsidP="00591960">
            <w:pPr>
              <w:jc w:val="center"/>
              <w:rPr>
                <w:rFonts w:cstheme="minorHAnsi"/>
                <w:b/>
                <w:bCs/>
              </w:rPr>
            </w:pPr>
            <w:r w:rsidRPr="004142D3">
              <w:rPr>
                <w:rFonts w:cstheme="minorHAnsi"/>
                <w:b/>
                <w:bCs/>
              </w:rPr>
              <w:t>Practicum 1</w:t>
            </w:r>
          </w:p>
        </w:tc>
        <w:tc>
          <w:tcPr>
            <w:tcW w:w="1611" w:type="dxa"/>
          </w:tcPr>
          <w:p w14:paraId="2785CF05" w14:textId="77777777" w:rsidR="00675C17" w:rsidRPr="004142D3" w:rsidRDefault="00675C17" w:rsidP="00591960">
            <w:pPr>
              <w:jc w:val="center"/>
              <w:rPr>
                <w:rFonts w:cstheme="minorHAnsi"/>
                <w:b/>
                <w:bCs/>
              </w:rPr>
            </w:pPr>
            <w:r w:rsidRPr="004142D3">
              <w:rPr>
                <w:rFonts w:cstheme="minorHAnsi"/>
                <w:b/>
                <w:bCs/>
              </w:rPr>
              <w:t>Practicum 2</w:t>
            </w:r>
          </w:p>
        </w:tc>
        <w:tc>
          <w:tcPr>
            <w:tcW w:w="1951" w:type="dxa"/>
          </w:tcPr>
          <w:p w14:paraId="5363C1DD" w14:textId="77777777" w:rsidR="00675C17" w:rsidRPr="004142D3" w:rsidRDefault="00675C17" w:rsidP="00591960">
            <w:pPr>
              <w:jc w:val="center"/>
              <w:rPr>
                <w:rFonts w:cstheme="minorHAnsi"/>
                <w:b/>
                <w:bCs/>
              </w:rPr>
            </w:pPr>
            <w:r w:rsidRPr="004142D3">
              <w:rPr>
                <w:rFonts w:cstheme="minorHAnsi"/>
                <w:b/>
                <w:bCs/>
              </w:rPr>
              <w:t>Student Teaching Major</w:t>
            </w:r>
          </w:p>
        </w:tc>
        <w:tc>
          <w:tcPr>
            <w:tcW w:w="1724" w:type="dxa"/>
          </w:tcPr>
          <w:p w14:paraId="35112D54" w14:textId="77777777" w:rsidR="00675C17" w:rsidRPr="004142D3" w:rsidRDefault="00675C17" w:rsidP="00591960">
            <w:pPr>
              <w:jc w:val="center"/>
              <w:rPr>
                <w:rFonts w:cstheme="minorHAnsi"/>
                <w:b/>
                <w:bCs/>
              </w:rPr>
            </w:pPr>
            <w:r w:rsidRPr="004142D3">
              <w:rPr>
                <w:rFonts w:cstheme="minorHAnsi"/>
                <w:b/>
                <w:bCs/>
              </w:rPr>
              <w:t>Internship Major</w:t>
            </w:r>
          </w:p>
        </w:tc>
        <w:tc>
          <w:tcPr>
            <w:tcW w:w="1725" w:type="dxa"/>
          </w:tcPr>
          <w:p w14:paraId="6F04B486" w14:textId="77777777" w:rsidR="00675C17" w:rsidRPr="004142D3" w:rsidRDefault="00675C17" w:rsidP="00591960">
            <w:pPr>
              <w:jc w:val="center"/>
              <w:rPr>
                <w:rFonts w:cstheme="minorHAnsi"/>
                <w:b/>
                <w:bCs/>
              </w:rPr>
            </w:pPr>
            <w:r w:rsidRPr="004142D3">
              <w:rPr>
                <w:rFonts w:cstheme="minorHAnsi"/>
                <w:b/>
                <w:bCs/>
              </w:rPr>
              <w:t>Minor</w:t>
            </w:r>
          </w:p>
        </w:tc>
      </w:tr>
      <w:tr w:rsidR="00675C17" w14:paraId="5AB3AE52" w14:textId="77777777" w:rsidTr="00591960">
        <w:tc>
          <w:tcPr>
            <w:tcW w:w="1724" w:type="dxa"/>
          </w:tcPr>
          <w:p w14:paraId="4AACD6B8" w14:textId="77777777" w:rsidR="00675C17" w:rsidRPr="004142D3" w:rsidRDefault="00675C17" w:rsidP="00591960">
            <w:pPr>
              <w:rPr>
                <w:rFonts w:cstheme="minorHAnsi"/>
                <w:b/>
                <w:bCs/>
              </w:rPr>
            </w:pPr>
            <w:r w:rsidRPr="004142D3">
              <w:rPr>
                <w:rFonts w:cstheme="minorHAnsi"/>
                <w:b/>
                <w:bCs/>
              </w:rPr>
              <w:t>Formative Observation Cycles</w:t>
            </w:r>
          </w:p>
        </w:tc>
        <w:tc>
          <w:tcPr>
            <w:tcW w:w="1610" w:type="dxa"/>
          </w:tcPr>
          <w:p w14:paraId="63B62A02" w14:textId="77777777" w:rsidR="00675C17" w:rsidRDefault="00675C17" w:rsidP="00591960">
            <w:pPr>
              <w:jc w:val="center"/>
              <w:rPr>
                <w:rFonts w:cstheme="minorHAnsi"/>
              </w:rPr>
            </w:pPr>
            <w:r>
              <w:rPr>
                <w:rFonts w:cstheme="minorHAnsi"/>
              </w:rPr>
              <w:t>2</w:t>
            </w:r>
          </w:p>
        </w:tc>
        <w:tc>
          <w:tcPr>
            <w:tcW w:w="1611" w:type="dxa"/>
          </w:tcPr>
          <w:p w14:paraId="5E766E69" w14:textId="77777777" w:rsidR="00675C17" w:rsidRDefault="00675C17" w:rsidP="00591960">
            <w:pPr>
              <w:jc w:val="center"/>
              <w:rPr>
                <w:rFonts w:cstheme="minorHAnsi"/>
              </w:rPr>
            </w:pPr>
            <w:r>
              <w:rPr>
                <w:rFonts w:cstheme="minorHAnsi"/>
              </w:rPr>
              <w:t>2</w:t>
            </w:r>
          </w:p>
        </w:tc>
        <w:tc>
          <w:tcPr>
            <w:tcW w:w="1951" w:type="dxa"/>
          </w:tcPr>
          <w:p w14:paraId="00768A44" w14:textId="77777777" w:rsidR="00675C17" w:rsidRDefault="00675C17" w:rsidP="00591960">
            <w:pPr>
              <w:jc w:val="center"/>
              <w:rPr>
                <w:rFonts w:cstheme="minorHAnsi"/>
              </w:rPr>
            </w:pPr>
            <w:r>
              <w:rPr>
                <w:rFonts w:cstheme="minorHAnsi"/>
              </w:rPr>
              <w:t>4</w:t>
            </w:r>
          </w:p>
        </w:tc>
        <w:tc>
          <w:tcPr>
            <w:tcW w:w="1724" w:type="dxa"/>
          </w:tcPr>
          <w:p w14:paraId="5EA2F731" w14:textId="77777777" w:rsidR="00675C17" w:rsidRDefault="00675C17" w:rsidP="00591960">
            <w:pPr>
              <w:jc w:val="center"/>
              <w:rPr>
                <w:rFonts w:cstheme="minorHAnsi"/>
              </w:rPr>
            </w:pPr>
            <w:r>
              <w:rPr>
                <w:rFonts w:cstheme="minorHAnsi"/>
              </w:rPr>
              <w:t>4</w:t>
            </w:r>
          </w:p>
        </w:tc>
        <w:tc>
          <w:tcPr>
            <w:tcW w:w="1725" w:type="dxa"/>
          </w:tcPr>
          <w:p w14:paraId="2CF1FE40" w14:textId="77777777" w:rsidR="00675C17" w:rsidRDefault="00675C17" w:rsidP="00591960">
            <w:pPr>
              <w:jc w:val="center"/>
              <w:rPr>
                <w:rFonts w:cstheme="minorHAnsi"/>
              </w:rPr>
            </w:pPr>
            <w:r>
              <w:rPr>
                <w:rFonts w:cstheme="minorHAnsi"/>
              </w:rPr>
              <w:t>2</w:t>
            </w:r>
          </w:p>
        </w:tc>
      </w:tr>
      <w:tr w:rsidR="00675C17" w14:paraId="2C84434B" w14:textId="77777777" w:rsidTr="00591960">
        <w:tc>
          <w:tcPr>
            <w:tcW w:w="1724" w:type="dxa"/>
          </w:tcPr>
          <w:p w14:paraId="3A336E29" w14:textId="77777777" w:rsidR="00675C17" w:rsidRPr="004142D3" w:rsidRDefault="00675C17" w:rsidP="00591960">
            <w:pPr>
              <w:rPr>
                <w:rFonts w:cstheme="minorHAnsi"/>
                <w:b/>
                <w:bCs/>
              </w:rPr>
            </w:pPr>
            <w:r w:rsidRPr="004142D3">
              <w:rPr>
                <w:rFonts w:cstheme="minorHAnsi"/>
                <w:b/>
                <w:bCs/>
              </w:rPr>
              <w:t>Summative Evaluation</w:t>
            </w:r>
          </w:p>
        </w:tc>
        <w:tc>
          <w:tcPr>
            <w:tcW w:w="1610" w:type="dxa"/>
          </w:tcPr>
          <w:p w14:paraId="6215E3B9" w14:textId="77777777" w:rsidR="00675C17" w:rsidRDefault="00675C17" w:rsidP="00591960">
            <w:pPr>
              <w:jc w:val="center"/>
              <w:rPr>
                <w:rFonts w:cstheme="minorHAnsi"/>
              </w:rPr>
            </w:pPr>
            <w:r>
              <w:rPr>
                <w:rFonts w:cstheme="minorHAnsi"/>
              </w:rPr>
              <w:t>1</w:t>
            </w:r>
          </w:p>
        </w:tc>
        <w:tc>
          <w:tcPr>
            <w:tcW w:w="1611" w:type="dxa"/>
          </w:tcPr>
          <w:p w14:paraId="7CCE1F53" w14:textId="77777777" w:rsidR="00675C17" w:rsidRDefault="00675C17" w:rsidP="00591960">
            <w:pPr>
              <w:jc w:val="center"/>
              <w:rPr>
                <w:rFonts w:cstheme="minorHAnsi"/>
              </w:rPr>
            </w:pPr>
            <w:r>
              <w:rPr>
                <w:rFonts w:cstheme="minorHAnsi"/>
              </w:rPr>
              <w:t>1</w:t>
            </w:r>
          </w:p>
        </w:tc>
        <w:tc>
          <w:tcPr>
            <w:tcW w:w="1951" w:type="dxa"/>
          </w:tcPr>
          <w:p w14:paraId="0A949B4E" w14:textId="77777777" w:rsidR="00675C17" w:rsidRDefault="00675C17" w:rsidP="00591960">
            <w:pPr>
              <w:jc w:val="center"/>
              <w:rPr>
                <w:rFonts w:cstheme="minorHAnsi"/>
              </w:rPr>
            </w:pPr>
            <w:r>
              <w:rPr>
                <w:rFonts w:cstheme="minorHAnsi"/>
              </w:rPr>
              <w:t>1</w:t>
            </w:r>
          </w:p>
        </w:tc>
        <w:tc>
          <w:tcPr>
            <w:tcW w:w="1724" w:type="dxa"/>
          </w:tcPr>
          <w:p w14:paraId="0216C540" w14:textId="77777777" w:rsidR="00675C17" w:rsidRDefault="00675C17" w:rsidP="00591960">
            <w:pPr>
              <w:jc w:val="center"/>
              <w:rPr>
                <w:rFonts w:cstheme="minorHAnsi"/>
              </w:rPr>
            </w:pPr>
            <w:r>
              <w:rPr>
                <w:rFonts w:cstheme="minorHAnsi"/>
              </w:rPr>
              <w:t>1</w:t>
            </w:r>
          </w:p>
        </w:tc>
        <w:tc>
          <w:tcPr>
            <w:tcW w:w="1725" w:type="dxa"/>
          </w:tcPr>
          <w:p w14:paraId="3E99C76C" w14:textId="77777777" w:rsidR="00675C17" w:rsidRDefault="00675C17" w:rsidP="00591960">
            <w:pPr>
              <w:jc w:val="center"/>
              <w:rPr>
                <w:rFonts w:cstheme="minorHAnsi"/>
              </w:rPr>
            </w:pPr>
            <w:r>
              <w:rPr>
                <w:rFonts w:cstheme="minorHAnsi"/>
              </w:rPr>
              <w:t>1</w:t>
            </w:r>
          </w:p>
        </w:tc>
      </w:tr>
    </w:tbl>
    <w:p w14:paraId="782856A4" w14:textId="77777777" w:rsidR="004142D3" w:rsidRDefault="004142D3" w:rsidP="00675C17">
      <w:pPr>
        <w:rPr>
          <w:rFonts w:cstheme="minorHAnsi"/>
          <w:b/>
          <w:bCs/>
        </w:rPr>
      </w:pPr>
    </w:p>
    <w:p w14:paraId="1ACF6795" w14:textId="4B50DC82" w:rsidR="00675C17" w:rsidRPr="009E592B" w:rsidRDefault="00675C17" w:rsidP="00675C17">
      <w:pPr>
        <w:rPr>
          <w:rFonts w:cstheme="minorHAnsi"/>
        </w:rPr>
      </w:pPr>
      <w:r w:rsidRPr="004142D3">
        <w:rPr>
          <w:rFonts w:cstheme="minorHAnsi"/>
          <w:b/>
          <w:bCs/>
        </w:rPr>
        <w:t>Note:</w:t>
      </w:r>
      <w:r>
        <w:rPr>
          <w:rFonts w:cstheme="minorHAnsi"/>
        </w:rPr>
        <w:t xml:space="preserve"> Only Summative Evaluations will need to be filled out in the Educator System. </w:t>
      </w:r>
    </w:p>
    <w:p w14:paraId="21C586FD" w14:textId="77777777" w:rsidR="00675C17" w:rsidRPr="00403DD3" w:rsidRDefault="00675C17" w:rsidP="00675C17">
      <w:pPr>
        <w:rPr>
          <w:rFonts w:cstheme="minorHAnsi"/>
        </w:rPr>
      </w:pPr>
    </w:p>
    <w:p w14:paraId="4FABB8CC" w14:textId="77777777" w:rsidR="000A2DE7" w:rsidRPr="000A2DE7" w:rsidRDefault="000A2DE7" w:rsidP="000A2DE7">
      <w:pPr>
        <w:rPr>
          <w:b/>
          <w:bCs/>
          <w:u w:val="single"/>
        </w:rPr>
      </w:pPr>
    </w:p>
    <w:sectPr w:rsidR="000A2DE7" w:rsidRPr="000A2DE7" w:rsidSect="005A5E55">
      <w:pgSz w:w="12240" w:h="15840"/>
      <w:pgMar w:top="1152" w:right="1296" w:bottom="1152" w:left="1296"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Open Sans">
    <w:panose1 w:val="020B0606030504020204"/>
    <w:charset w:val="00"/>
    <w:family w:val="swiss"/>
    <w:pitch w:val="variable"/>
    <w:sig w:usb0="E00002EF" w:usb1="4000205B" w:usb2="00000028"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348B1"/>
    <w:multiLevelType w:val="hybridMultilevel"/>
    <w:tmpl w:val="F1446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EC05C1"/>
    <w:multiLevelType w:val="hybridMultilevel"/>
    <w:tmpl w:val="EEE436B8"/>
    <w:lvl w:ilvl="0" w:tplc="27C4EDE4">
      <w:start w:val="1"/>
      <w:numFmt w:val="bullet"/>
      <w:lvlText w:val=""/>
      <w:lvlJc w:val="left"/>
      <w:pPr>
        <w:ind w:left="108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2B03C62"/>
    <w:multiLevelType w:val="hybridMultilevel"/>
    <w:tmpl w:val="69D81500"/>
    <w:lvl w:ilvl="0" w:tplc="C0E81F5E">
      <w:start w:val="1"/>
      <w:numFmt w:val="bullet"/>
      <w:lvlText w:val=""/>
      <w:lvlJc w:val="left"/>
      <w:pPr>
        <w:tabs>
          <w:tab w:val="num" w:pos="144"/>
        </w:tabs>
        <w:ind w:left="144" w:hanging="144"/>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1F3DBA"/>
    <w:multiLevelType w:val="hybridMultilevel"/>
    <w:tmpl w:val="706AF1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054D63"/>
    <w:multiLevelType w:val="hybridMultilevel"/>
    <w:tmpl w:val="8912E052"/>
    <w:lvl w:ilvl="0" w:tplc="EAA696D8">
      <w:start w:val="1"/>
      <w:numFmt w:val="bullet"/>
      <w:lvlText w:val=""/>
      <w:lvlJc w:val="left"/>
      <w:pPr>
        <w:tabs>
          <w:tab w:val="num" w:pos="144"/>
        </w:tabs>
        <w:ind w:left="144" w:hanging="144"/>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2635ADA"/>
    <w:multiLevelType w:val="hybridMultilevel"/>
    <w:tmpl w:val="5FB4E194"/>
    <w:lvl w:ilvl="0" w:tplc="7ACA0430">
      <w:start w:val="1"/>
      <w:numFmt w:val="bullet"/>
      <w:lvlText w:val=""/>
      <w:lvlJc w:val="left"/>
      <w:pPr>
        <w:ind w:left="72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3260424"/>
    <w:multiLevelType w:val="hybridMultilevel"/>
    <w:tmpl w:val="F9443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3417F97"/>
    <w:multiLevelType w:val="hybridMultilevel"/>
    <w:tmpl w:val="0AB4EA4C"/>
    <w:lvl w:ilvl="0" w:tplc="09B602AC">
      <w:start w:val="1"/>
      <w:numFmt w:val="bullet"/>
      <w:lvlText w:val=""/>
      <w:lvlJc w:val="left"/>
      <w:pPr>
        <w:tabs>
          <w:tab w:val="num" w:pos="720"/>
        </w:tabs>
        <w:ind w:left="720" w:hanging="360"/>
      </w:pPr>
      <w:rPr>
        <w:rFonts w:ascii="Symbol" w:hAnsi="Symbol" w:hint="default"/>
      </w:rPr>
    </w:lvl>
    <w:lvl w:ilvl="1" w:tplc="DD0A8D58" w:tentative="1">
      <w:start w:val="1"/>
      <w:numFmt w:val="bullet"/>
      <w:lvlText w:val=""/>
      <w:lvlJc w:val="left"/>
      <w:pPr>
        <w:tabs>
          <w:tab w:val="num" w:pos="1440"/>
        </w:tabs>
        <w:ind w:left="1440" w:hanging="360"/>
      </w:pPr>
      <w:rPr>
        <w:rFonts w:ascii="Symbol" w:hAnsi="Symbol" w:hint="default"/>
      </w:rPr>
    </w:lvl>
    <w:lvl w:ilvl="2" w:tplc="F9A6026E" w:tentative="1">
      <w:start w:val="1"/>
      <w:numFmt w:val="bullet"/>
      <w:lvlText w:val=""/>
      <w:lvlJc w:val="left"/>
      <w:pPr>
        <w:tabs>
          <w:tab w:val="num" w:pos="2160"/>
        </w:tabs>
        <w:ind w:left="2160" w:hanging="360"/>
      </w:pPr>
      <w:rPr>
        <w:rFonts w:ascii="Symbol" w:hAnsi="Symbol" w:hint="default"/>
      </w:rPr>
    </w:lvl>
    <w:lvl w:ilvl="3" w:tplc="9216B9A4" w:tentative="1">
      <w:start w:val="1"/>
      <w:numFmt w:val="bullet"/>
      <w:lvlText w:val=""/>
      <w:lvlJc w:val="left"/>
      <w:pPr>
        <w:tabs>
          <w:tab w:val="num" w:pos="2880"/>
        </w:tabs>
        <w:ind w:left="2880" w:hanging="360"/>
      </w:pPr>
      <w:rPr>
        <w:rFonts w:ascii="Symbol" w:hAnsi="Symbol" w:hint="default"/>
      </w:rPr>
    </w:lvl>
    <w:lvl w:ilvl="4" w:tplc="7EB6A9C4" w:tentative="1">
      <w:start w:val="1"/>
      <w:numFmt w:val="bullet"/>
      <w:lvlText w:val=""/>
      <w:lvlJc w:val="left"/>
      <w:pPr>
        <w:tabs>
          <w:tab w:val="num" w:pos="3600"/>
        </w:tabs>
        <w:ind w:left="3600" w:hanging="360"/>
      </w:pPr>
      <w:rPr>
        <w:rFonts w:ascii="Symbol" w:hAnsi="Symbol" w:hint="default"/>
      </w:rPr>
    </w:lvl>
    <w:lvl w:ilvl="5" w:tplc="377637D2" w:tentative="1">
      <w:start w:val="1"/>
      <w:numFmt w:val="bullet"/>
      <w:lvlText w:val=""/>
      <w:lvlJc w:val="left"/>
      <w:pPr>
        <w:tabs>
          <w:tab w:val="num" w:pos="4320"/>
        </w:tabs>
        <w:ind w:left="4320" w:hanging="360"/>
      </w:pPr>
      <w:rPr>
        <w:rFonts w:ascii="Symbol" w:hAnsi="Symbol" w:hint="default"/>
      </w:rPr>
    </w:lvl>
    <w:lvl w:ilvl="6" w:tplc="C9A08756" w:tentative="1">
      <w:start w:val="1"/>
      <w:numFmt w:val="bullet"/>
      <w:lvlText w:val=""/>
      <w:lvlJc w:val="left"/>
      <w:pPr>
        <w:tabs>
          <w:tab w:val="num" w:pos="5040"/>
        </w:tabs>
        <w:ind w:left="5040" w:hanging="360"/>
      </w:pPr>
      <w:rPr>
        <w:rFonts w:ascii="Symbol" w:hAnsi="Symbol" w:hint="default"/>
      </w:rPr>
    </w:lvl>
    <w:lvl w:ilvl="7" w:tplc="6C009B88" w:tentative="1">
      <w:start w:val="1"/>
      <w:numFmt w:val="bullet"/>
      <w:lvlText w:val=""/>
      <w:lvlJc w:val="left"/>
      <w:pPr>
        <w:tabs>
          <w:tab w:val="num" w:pos="5760"/>
        </w:tabs>
        <w:ind w:left="5760" w:hanging="360"/>
      </w:pPr>
      <w:rPr>
        <w:rFonts w:ascii="Symbol" w:hAnsi="Symbol" w:hint="default"/>
      </w:rPr>
    </w:lvl>
    <w:lvl w:ilvl="8" w:tplc="449EE77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AFF0B34"/>
    <w:multiLevelType w:val="hybridMultilevel"/>
    <w:tmpl w:val="F10C10F8"/>
    <w:lvl w:ilvl="0" w:tplc="EAA696D8">
      <w:start w:val="1"/>
      <w:numFmt w:val="bullet"/>
      <w:lvlText w:val=""/>
      <w:lvlJc w:val="left"/>
      <w:pPr>
        <w:tabs>
          <w:tab w:val="num" w:pos="144"/>
        </w:tabs>
        <w:ind w:left="144" w:hanging="144"/>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B782F5C"/>
    <w:multiLevelType w:val="hybridMultilevel"/>
    <w:tmpl w:val="52F03082"/>
    <w:lvl w:ilvl="0" w:tplc="A7143F02">
      <w:start w:val="1"/>
      <w:numFmt w:val="bullet"/>
      <w:lvlText w:val=""/>
      <w:lvlJc w:val="left"/>
      <w:pPr>
        <w:tabs>
          <w:tab w:val="num" w:pos="144"/>
        </w:tabs>
        <w:ind w:left="144" w:hanging="144"/>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F6010D7"/>
    <w:multiLevelType w:val="hybridMultilevel"/>
    <w:tmpl w:val="04B26C5A"/>
    <w:lvl w:ilvl="0" w:tplc="04090001">
      <w:start w:val="1"/>
      <w:numFmt w:val="bullet"/>
      <w:lvlText w:val=""/>
      <w:lvlJc w:val="left"/>
      <w:pPr>
        <w:ind w:left="72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2D479E1"/>
    <w:multiLevelType w:val="hybridMultilevel"/>
    <w:tmpl w:val="18A49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910213F"/>
    <w:multiLevelType w:val="hybridMultilevel"/>
    <w:tmpl w:val="BCB4FE4C"/>
    <w:lvl w:ilvl="0" w:tplc="A7143F0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B1A5AEC"/>
    <w:multiLevelType w:val="hybridMultilevel"/>
    <w:tmpl w:val="C6E4C01E"/>
    <w:lvl w:ilvl="0" w:tplc="D53C0FDC">
      <w:start w:val="1"/>
      <w:numFmt w:val="bullet"/>
      <w:lvlText w:val=""/>
      <w:lvlJc w:val="left"/>
      <w:pPr>
        <w:tabs>
          <w:tab w:val="num" w:pos="720"/>
        </w:tabs>
        <w:ind w:left="720" w:hanging="360"/>
      </w:pPr>
      <w:rPr>
        <w:rFonts w:ascii="Symbol" w:hAnsi="Symbol" w:hint="default"/>
      </w:rPr>
    </w:lvl>
    <w:lvl w:ilvl="1" w:tplc="CA2C9954" w:tentative="1">
      <w:start w:val="1"/>
      <w:numFmt w:val="bullet"/>
      <w:lvlText w:val=""/>
      <w:lvlJc w:val="left"/>
      <w:pPr>
        <w:tabs>
          <w:tab w:val="num" w:pos="1440"/>
        </w:tabs>
        <w:ind w:left="1440" w:hanging="360"/>
      </w:pPr>
      <w:rPr>
        <w:rFonts w:ascii="Symbol" w:hAnsi="Symbol" w:hint="default"/>
      </w:rPr>
    </w:lvl>
    <w:lvl w:ilvl="2" w:tplc="95A0BF4E" w:tentative="1">
      <w:start w:val="1"/>
      <w:numFmt w:val="bullet"/>
      <w:lvlText w:val=""/>
      <w:lvlJc w:val="left"/>
      <w:pPr>
        <w:tabs>
          <w:tab w:val="num" w:pos="2160"/>
        </w:tabs>
        <w:ind w:left="2160" w:hanging="360"/>
      </w:pPr>
      <w:rPr>
        <w:rFonts w:ascii="Symbol" w:hAnsi="Symbol" w:hint="default"/>
      </w:rPr>
    </w:lvl>
    <w:lvl w:ilvl="3" w:tplc="A466598C" w:tentative="1">
      <w:start w:val="1"/>
      <w:numFmt w:val="bullet"/>
      <w:lvlText w:val=""/>
      <w:lvlJc w:val="left"/>
      <w:pPr>
        <w:tabs>
          <w:tab w:val="num" w:pos="2880"/>
        </w:tabs>
        <w:ind w:left="2880" w:hanging="360"/>
      </w:pPr>
      <w:rPr>
        <w:rFonts w:ascii="Symbol" w:hAnsi="Symbol" w:hint="default"/>
      </w:rPr>
    </w:lvl>
    <w:lvl w:ilvl="4" w:tplc="D3E455F2" w:tentative="1">
      <w:start w:val="1"/>
      <w:numFmt w:val="bullet"/>
      <w:lvlText w:val=""/>
      <w:lvlJc w:val="left"/>
      <w:pPr>
        <w:tabs>
          <w:tab w:val="num" w:pos="3600"/>
        </w:tabs>
        <w:ind w:left="3600" w:hanging="360"/>
      </w:pPr>
      <w:rPr>
        <w:rFonts w:ascii="Symbol" w:hAnsi="Symbol" w:hint="default"/>
      </w:rPr>
    </w:lvl>
    <w:lvl w:ilvl="5" w:tplc="858E1AC4" w:tentative="1">
      <w:start w:val="1"/>
      <w:numFmt w:val="bullet"/>
      <w:lvlText w:val=""/>
      <w:lvlJc w:val="left"/>
      <w:pPr>
        <w:tabs>
          <w:tab w:val="num" w:pos="4320"/>
        </w:tabs>
        <w:ind w:left="4320" w:hanging="360"/>
      </w:pPr>
      <w:rPr>
        <w:rFonts w:ascii="Symbol" w:hAnsi="Symbol" w:hint="default"/>
      </w:rPr>
    </w:lvl>
    <w:lvl w:ilvl="6" w:tplc="0F824F5C" w:tentative="1">
      <w:start w:val="1"/>
      <w:numFmt w:val="bullet"/>
      <w:lvlText w:val=""/>
      <w:lvlJc w:val="left"/>
      <w:pPr>
        <w:tabs>
          <w:tab w:val="num" w:pos="5040"/>
        </w:tabs>
        <w:ind w:left="5040" w:hanging="360"/>
      </w:pPr>
      <w:rPr>
        <w:rFonts w:ascii="Symbol" w:hAnsi="Symbol" w:hint="default"/>
      </w:rPr>
    </w:lvl>
    <w:lvl w:ilvl="7" w:tplc="CD5A6D2A" w:tentative="1">
      <w:start w:val="1"/>
      <w:numFmt w:val="bullet"/>
      <w:lvlText w:val=""/>
      <w:lvlJc w:val="left"/>
      <w:pPr>
        <w:tabs>
          <w:tab w:val="num" w:pos="5760"/>
        </w:tabs>
        <w:ind w:left="5760" w:hanging="360"/>
      </w:pPr>
      <w:rPr>
        <w:rFonts w:ascii="Symbol" w:hAnsi="Symbol" w:hint="default"/>
      </w:rPr>
    </w:lvl>
    <w:lvl w:ilvl="8" w:tplc="599AF836"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7937546"/>
    <w:multiLevelType w:val="hybridMultilevel"/>
    <w:tmpl w:val="798E9D02"/>
    <w:lvl w:ilvl="0" w:tplc="EAA696D8">
      <w:start w:val="1"/>
      <w:numFmt w:val="bullet"/>
      <w:lvlText w:val=""/>
      <w:lvlJc w:val="left"/>
      <w:pPr>
        <w:tabs>
          <w:tab w:val="num" w:pos="144"/>
        </w:tabs>
        <w:ind w:left="144" w:hanging="144"/>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3AA2EA7"/>
    <w:multiLevelType w:val="hybridMultilevel"/>
    <w:tmpl w:val="3D8698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7E14BA"/>
    <w:multiLevelType w:val="multilevel"/>
    <w:tmpl w:val="ABA0A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86C3897"/>
    <w:multiLevelType w:val="hybridMultilevel"/>
    <w:tmpl w:val="8DBAB5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E0C012B"/>
    <w:multiLevelType w:val="hybridMultilevel"/>
    <w:tmpl w:val="A48AF036"/>
    <w:lvl w:ilvl="0" w:tplc="A7143F0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C4365D0"/>
    <w:multiLevelType w:val="hybridMultilevel"/>
    <w:tmpl w:val="3806CA12"/>
    <w:lvl w:ilvl="0" w:tplc="EAA696D8">
      <w:start w:val="1"/>
      <w:numFmt w:val="bullet"/>
      <w:lvlText w:val=""/>
      <w:lvlJc w:val="left"/>
      <w:pPr>
        <w:tabs>
          <w:tab w:val="num" w:pos="144"/>
        </w:tabs>
        <w:ind w:left="144" w:hanging="144"/>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F4248AF"/>
    <w:multiLevelType w:val="hybridMultilevel"/>
    <w:tmpl w:val="1CDA61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74980582">
    <w:abstractNumId w:val="2"/>
  </w:num>
  <w:num w:numId="2" w16cid:durableId="1165974317">
    <w:abstractNumId w:val="4"/>
  </w:num>
  <w:num w:numId="3" w16cid:durableId="977954909">
    <w:abstractNumId w:val="19"/>
  </w:num>
  <w:num w:numId="4" w16cid:durableId="137116360">
    <w:abstractNumId w:val="14"/>
  </w:num>
  <w:num w:numId="5" w16cid:durableId="1442338355">
    <w:abstractNumId w:val="8"/>
  </w:num>
  <w:num w:numId="6" w16cid:durableId="827095918">
    <w:abstractNumId w:val="0"/>
  </w:num>
  <w:num w:numId="7" w16cid:durableId="899096525">
    <w:abstractNumId w:val="6"/>
  </w:num>
  <w:num w:numId="8" w16cid:durableId="539972719">
    <w:abstractNumId w:val="20"/>
  </w:num>
  <w:num w:numId="9" w16cid:durableId="1889031658">
    <w:abstractNumId w:val="16"/>
  </w:num>
  <w:num w:numId="10" w16cid:durableId="1772584439">
    <w:abstractNumId w:val="11"/>
  </w:num>
  <w:num w:numId="11" w16cid:durableId="590430111">
    <w:abstractNumId w:val="17"/>
  </w:num>
  <w:num w:numId="12" w16cid:durableId="1636762115">
    <w:abstractNumId w:val="15"/>
  </w:num>
  <w:num w:numId="13" w16cid:durableId="1647779769">
    <w:abstractNumId w:val="10"/>
  </w:num>
  <w:num w:numId="14" w16cid:durableId="39399211">
    <w:abstractNumId w:val="9"/>
  </w:num>
  <w:num w:numId="15" w16cid:durableId="116685171">
    <w:abstractNumId w:val="3"/>
  </w:num>
  <w:num w:numId="16" w16cid:durableId="1134106614">
    <w:abstractNumId w:val="1"/>
  </w:num>
  <w:num w:numId="17" w16cid:durableId="1818450310">
    <w:abstractNumId w:val="5"/>
  </w:num>
  <w:num w:numId="18" w16cid:durableId="730930420">
    <w:abstractNumId w:val="18"/>
  </w:num>
  <w:num w:numId="19" w16cid:durableId="56323664">
    <w:abstractNumId w:val="12"/>
  </w:num>
  <w:num w:numId="20" w16cid:durableId="1913420592">
    <w:abstractNumId w:val="7"/>
  </w:num>
  <w:num w:numId="21" w16cid:durableId="160938538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112C"/>
    <w:rsid w:val="00000674"/>
    <w:rsid w:val="000A2DE7"/>
    <w:rsid w:val="000C039A"/>
    <w:rsid w:val="000C5127"/>
    <w:rsid w:val="00164065"/>
    <w:rsid w:val="001656D9"/>
    <w:rsid w:val="001727BE"/>
    <w:rsid w:val="001960C3"/>
    <w:rsid w:val="001B2E59"/>
    <w:rsid w:val="00200820"/>
    <w:rsid w:val="002104BE"/>
    <w:rsid w:val="00286EFC"/>
    <w:rsid w:val="00302E7B"/>
    <w:rsid w:val="003311EB"/>
    <w:rsid w:val="00336441"/>
    <w:rsid w:val="003C41B6"/>
    <w:rsid w:val="004142D3"/>
    <w:rsid w:val="00414410"/>
    <w:rsid w:val="0045064D"/>
    <w:rsid w:val="0045349F"/>
    <w:rsid w:val="00492F38"/>
    <w:rsid w:val="004B18E3"/>
    <w:rsid w:val="00544C71"/>
    <w:rsid w:val="005A5E55"/>
    <w:rsid w:val="005D533F"/>
    <w:rsid w:val="005F3FF5"/>
    <w:rsid w:val="005F6E3F"/>
    <w:rsid w:val="006428DC"/>
    <w:rsid w:val="006605E9"/>
    <w:rsid w:val="00675C17"/>
    <w:rsid w:val="0069353A"/>
    <w:rsid w:val="00711834"/>
    <w:rsid w:val="00732C9C"/>
    <w:rsid w:val="00735C95"/>
    <w:rsid w:val="00765D99"/>
    <w:rsid w:val="007A7D2B"/>
    <w:rsid w:val="007D70B7"/>
    <w:rsid w:val="007E5B62"/>
    <w:rsid w:val="007E65DF"/>
    <w:rsid w:val="007F3673"/>
    <w:rsid w:val="00887A94"/>
    <w:rsid w:val="008A2AD9"/>
    <w:rsid w:val="008A39D4"/>
    <w:rsid w:val="008C67BF"/>
    <w:rsid w:val="008D12DA"/>
    <w:rsid w:val="00900B50"/>
    <w:rsid w:val="009252FE"/>
    <w:rsid w:val="009E6687"/>
    <w:rsid w:val="00A50A94"/>
    <w:rsid w:val="00A532DB"/>
    <w:rsid w:val="00A71CD0"/>
    <w:rsid w:val="00AF3245"/>
    <w:rsid w:val="00B0112C"/>
    <w:rsid w:val="00C149F7"/>
    <w:rsid w:val="00CB49D5"/>
    <w:rsid w:val="00CE6A93"/>
    <w:rsid w:val="00D83280"/>
    <w:rsid w:val="00DE074C"/>
    <w:rsid w:val="00E22799"/>
    <w:rsid w:val="00E35CBF"/>
    <w:rsid w:val="00E9357E"/>
    <w:rsid w:val="00E957F9"/>
    <w:rsid w:val="00ED76A2"/>
    <w:rsid w:val="00FB45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FB576D4"/>
  <w15:chartTrackingRefBased/>
  <w15:docId w15:val="{365ECE6E-9248-CA42-B7CD-C60C4A347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011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B011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0112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0112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0112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0112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0112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0112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0112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112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B0112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0112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0112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0112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0112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0112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0112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0112C"/>
    <w:rPr>
      <w:rFonts w:eastAsiaTheme="majorEastAsia" w:cstheme="majorBidi"/>
      <w:color w:val="272727" w:themeColor="text1" w:themeTint="D8"/>
    </w:rPr>
  </w:style>
  <w:style w:type="paragraph" w:styleId="Title">
    <w:name w:val="Title"/>
    <w:basedOn w:val="Normal"/>
    <w:next w:val="Normal"/>
    <w:link w:val="TitleChar"/>
    <w:uiPriority w:val="10"/>
    <w:qFormat/>
    <w:rsid w:val="00B0112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0112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0112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0112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0112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B0112C"/>
    <w:rPr>
      <w:i/>
      <w:iCs/>
      <w:color w:val="404040" w:themeColor="text1" w:themeTint="BF"/>
    </w:rPr>
  </w:style>
  <w:style w:type="paragraph" w:styleId="ListParagraph">
    <w:name w:val="List Paragraph"/>
    <w:basedOn w:val="Normal"/>
    <w:uiPriority w:val="34"/>
    <w:qFormat/>
    <w:rsid w:val="00B0112C"/>
    <w:pPr>
      <w:ind w:left="720"/>
      <w:contextualSpacing/>
    </w:pPr>
  </w:style>
  <w:style w:type="character" w:styleId="IntenseEmphasis">
    <w:name w:val="Intense Emphasis"/>
    <w:basedOn w:val="DefaultParagraphFont"/>
    <w:uiPriority w:val="21"/>
    <w:qFormat/>
    <w:rsid w:val="00B0112C"/>
    <w:rPr>
      <w:i/>
      <w:iCs/>
      <w:color w:val="0F4761" w:themeColor="accent1" w:themeShade="BF"/>
    </w:rPr>
  </w:style>
  <w:style w:type="paragraph" w:styleId="IntenseQuote">
    <w:name w:val="Intense Quote"/>
    <w:basedOn w:val="Normal"/>
    <w:next w:val="Normal"/>
    <w:link w:val="IntenseQuoteChar"/>
    <w:uiPriority w:val="30"/>
    <w:qFormat/>
    <w:rsid w:val="00B011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0112C"/>
    <w:rPr>
      <w:i/>
      <w:iCs/>
      <w:color w:val="0F4761" w:themeColor="accent1" w:themeShade="BF"/>
    </w:rPr>
  </w:style>
  <w:style w:type="character" w:styleId="IntenseReference">
    <w:name w:val="Intense Reference"/>
    <w:basedOn w:val="DefaultParagraphFont"/>
    <w:uiPriority w:val="32"/>
    <w:qFormat/>
    <w:rsid w:val="00B0112C"/>
    <w:rPr>
      <w:b/>
      <w:bCs/>
      <w:smallCaps/>
      <w:color w:val="0F4761" w:themeColor="accent1" w:themeShade="BF"/>
      <w:spacing w:val="5"/>
    </w:rPr>
  </w:style>
  <w:style w:type="paragraph" w:styleId="NormalWeb">
    <w:name w:val="Normal (Web)"/>
    <w:basedOn w:val="Normal"/>
    <w:uiPriority w:val="99"/>
    <w:semiHidden/>
    <w:unhideWhenUsed/>
    <w:rsid w:val="00A50A94"/>
    <w:pPr>
      <w:spacing w:before="100" w:beforeAutospacing="1" w:after="100" w:afterAutospacing="1"/>
    </w:pPr>
    <w:rPr>
      <w:rFonts w:ascii="Times New Roman" w:eastAsia="Times New Roman" w:hAnsi="Times New Roman" w:cs="Times New Roman"/>
      <w:kern w:val="0"/>
      <w14:ligatures w14:val="none"/>
    </w:rPr>
  </w:style>
  <w:style w:type="character" w:styleId="Hyperlink">
    <w:name w:val="Hyperlink"/>
    <w:basedOn w:val="DefaultParagraphFont"/>
    <w:uiPriority w:val="99"/>
    <w:semiHidden/>
    <w:unhideWhenUsed/>
    <w:rsid w:val="00887A94"/>
    <w:rPr>
      <w:color w:val="0000FF"/>
      <w:u w:val="single"/>
    </w:rPr>
  </w:style>
  <w:style w:type="table" w:styleId="TableGrid">
    <w:name w:val="Table Grid"/>
    <w:basedOn w:val="TableNormal"/>
    <w:uiPriority w:val="39"/>
    <w:rsid w:val="005F6E3F"/>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48003743">
      <w:bodyDiv w:val="1"/>
      <w:marLeft w:val="0"/>
      <w:marRight w:val="0"/>
      <w:marTop w:val="0"/>
      <w:marBottom w:val="0"/>
      <w:divBdr>
        <w:top w:val="none" w:sz="0" w:space="0" w:color="auto"/>
        <w:left w:val="none" w:sz="0" w:space="0" w:color="auto"/>
        <w:bottom w:val="none" w:sz="0" w:space="0" w:color="auto"/>
        <w:right w:val="none" w:sz="0" w:space="0" w:color="auto"/>
      </w:divBdr>
    </w:div>
    <w:div w:id="1130778636">
      <w:bodyDiv w:val="1"/>
      <w:marLeft w:val="0"/>
      <w:marRight w:val="0"/>
      <w:marTop w:val="0"/>
      <w:marBottom w:val="0"/>
      <w:divBdr>
        <w:top w:val="none" w:sz="0" w:space="0" w:color="auto"/>
        <w:left w:val="none" w:sz="0" w:space="0" w:color="auto"/>
        <w:bottom w:val="none" w:sz="0" w:space="0" w:color="auto"/>
        <w:right w:val="none" w:sz="0" w:space="0" w:color="auto"/>
      </w:divBdr>
      <w:divsChild>
        <w:div w:id="743533958">
          <w:marLeft w:val="547"/>
          <w:marRight w:val="0"/>
          <w:marTop w:val="0"/>
          <w:marBottom w:val="0"/>
          <w:divBdr>
            <w:top w:val="none" w:sz="0" w:space="0" w:color="auto"/>
            <w:left w:val="none" w:sz="0" w:space="0" w:color="auto"/>
            <w:bottom w:val="none" w:sz="0" w:space="0" w:color="auto"/>
            <w:right w:val="none" w:sz="0" w:space="0" w:color="auto"/>
          </w:divBdr>
        </w:div>
      </w:divsChild>
    </w:div>
    <w:div w:id="1676689361">
      <w:bodyDiv w:val="1"/>
      <w:marLeft w:val="0"/>
      <w:marRight w:val="0"/>
      <w:marTop w:val="0"/>
      <w:marBottom w:val="0"/>
      <w:divBdr>
        <w:top w:val="none" w:sz="0" w:space="0" w:color="auto"/>
        <w:left w:val="none" w:sz="0" w:space="0" w:color="auto"/>
        <w:bottom w:val="none" w:sz="0" w:space="0" w:color="auto"/>
        <w:right w:val="none" w:sz="0" w:space="0" w:color="auto"/>
      </w:divBdr>
      <w:divsChild>
        <w:div w:id="67264708">
          <w:marLeft w:val="0"/>
          <w:marRight w:val="0"/>
          <w:marTop w:val="600"/>
          <w:marBottom w:val="600"/>
          <w:divBdr>
            <w:top w:val="none" w:sz="0" w:space="0" w:color="auto"/>
            <w:left w:val="none" w:sz="0" w:space="0" w:color="auto"/>
            <w:bottom w:val="none" w:sz="0" w:space="0" w:color="auto"/>
            <w:right w:val="none" w:sz="0" w:space="0" w:color="auto"/>
          </w:divBdr>
          <w:divsChild>
            <w:div w:id="959804054">
              <w:marLeft w:val="0"/>
              <w:marRight w:val="0"/>
              <w:marTop w:val="0"/>
              <w:marBottom w:val="0"/>
              <w:divBdr>
                <w:top w:val="none" w:sz="0" w:space="0" w:color="auto"/>
                <w:left w:val="none" w:sz="0" w:space="0" w:color="auto"/>
                <w:bottom w:val="none" w:sz="0" w:space="0" w:color="auto"/>
                <w:right w:val="none" w:sz="0" w:space="0" w:color="auto"/>
              </w:divBdr>
              <w:divsChild>
                <w:div w:id="627662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247319">
          <w:marLeft w:val="0"/>
          <w:marRight w:val="0"/>
          <w:marTop w:val="600"/>
          <w:marBottom w:val="600"/>
          <w:divBdr>
            <w:top w:val="none" w:sz="0" w:space="0" w:color="auto"/>
            <w:left w:val="none" w:sz="0" w:space="0" w:color="auto"/>
            <w:bottom w:val="none" w:sz="0" w:space="0" w:color="auto"/>
            <w:right w:val="none" w:sz="0" w:space="0" w:color="auto"/>
          </w:divBdr>
          <w:divsChild>
            <w:div w:id="1884899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9EE4483EBF1C44DA3A185698183A256" ma:contentTypeVersion="15" ma:contentTypeDescription="Create a new document." ma:contentTypeScope="" ma:versionID="f05ca0cb60b752a67e56af96540ee63a">
  <xsd:schema xmlns:xsd="http://www.w3.org/2001/XMLSchema" xmlns:xs="http://www.w3.org/2001/XMLSchema" xmlns:p="http://schemas.microsoft.com/office/2006/metadata/properties" xmlns:ns2="361f8890-6b49-450a-8b54-72e5a320dc4e" xmlns:ns3="b59817c4-94ff-4024-9eeb-78960f814eeb" targetNamespace="http://schemas.microsoft.com/office/2006/metadata/properties" ma:root="true" ma:fieldsID="07aaa68651642f1d52e628f95711851d" ns2:_="" ns3:_="">
    <xsd:import namespace="361f8890-6b49-450a-8b54-72e5a320dc4e"/>
    <xsd:import namespace="b59817c4-94ff-4024-9eeb-78960f814eeb"/>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1f8890-6b49-450a-8b54-72e5a320dc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9ba56ddf-ff69-4683-87b5-0efbe012505f"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59817c4-94ff-4024-9eeb-78960f814eeb"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1d25a948-4f22-4f20-896f-0ca945e8387e}" ma:internalName="TaxCatchAll" ma:showField="CatchAllData" ma:web="b59817c4-94ff-4024-9eeb-78960f814eeb">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94F76F6-A4D9-4E42-B67D-D3C643F980A5}"/>
</file>

<file path=customXml/itemProps2.xml><?xml version="1.0" encoding="utf-8"?>
<ds:datastoreItem xmlns:ds="http://schemas.openxmlformats.org/officeDocument/2006/customXml" ds:itemID="{63C70271-F921-4E06-A6EA-0DA699CF789F}"/>
</file>

<file path=docProps/app.xml><?xml version="1.0" encoding="utf-8"?>
<Properties xmlns="http://schemas.openxmlformats.org/officeDocument/2006/extended-properties" xmlns:vt="http://schemas.openxmlformats.org/officeDocument/2006/docPropsVTypes">
  <Template>Normal.dotm</Template>
  <TotalTime>34</TotalTime>
  <Pages>5</Pages>
  <Words>1830</Words>
  <Characters>10437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Terri Summers</dc:creator>
  <cp:keywords/>
  <dc:description/>
  <cp:lastModifiedBy>Terri Summers</cp:lastModifiedBy>
  <cp:revision>13</cp:revision>
  <cp:lastPrinted>2024-09-03T18:01:00Z</cp:lastPrinted>
  <dcterms:created xsi:type="dcterms:W3CDTF">2024-08-28T21:14:00Z</dcterms:created>
  <dcterms:modified xsi:type="dcterms:W3CDTF">2024-09-03T18:05:00Z</dcterms:modified>
</cp:coreProperties>
</file>