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15305" w14:textId="77777777" w:rsidR="00657344" w:rsidRPr="00FC35DD" w:rsidRDefault="00657344" w:rsidP="00657344">
      <w:pPr>
        <w:jc w:val="center"/>
        <w:rPr>
          <w:b/>
          <w:bCs/>
          <w:sz w:val="28"/>
          <w:szCs w:val="28"/>
        </w:rPr>
      </w:pPr>
      <w:r>
        <w:rPr>
          <w:b/>
          <w:bCs/>
          <w:sz w:val="28"/>
          <w:szCs w:val="28"/>
        </w:rPr>
        <w:t xml:space="preserve">Brigham Young University Educator Preparation Program </w:t>
      </w:r>
      <w:r w:rsidRPr="00FC35DD">
        <w:rPr>
          <w:b/>
          <w:bCs/>
          <w:sz w:val="28"/>
          <w:szCs w:val="28"/>
        </w:rPr>
        <w:t>among 32</w:t>
      </w:r>
      <w:r w:rsidRPr="00FC35DD">
        <w:rPr>
          <w:rFonts w:eastAsia="Times New Roman" w:cs="Times New Roman"/>
          <w:b/>
          <w:bCs/>
          <w:sz w:val="28"/>
          <w:szCs w:val="28"/>
        </w:rPr>
        <w:t xml:space="preserve"> </w:t>
      </w:r>
      <w:r w:rsidRPr="00FC35DD">
        <w:rPr>
          <w:b/>
          <w:bCs/>
          <w:sz w:val="28"/>
          <w:szCs w:val="28"/>
        </w:rPr>
        <w:t>Educator Prep</w:t>
      </w:r>
      <w:r>
        <w:rPr>
          <w:b/>
          <w:bCs/>
          <w:sz w:val="28"/>
          <w:szCs w:val="28"/>
        </w:rPr>
        <w:t>aration</w:t>
      </w:r>
      <w:r w:rsidRPr="00FC35DD">
        <w:rPr>
          <w:b/>
          <w:bCs/>
          <w:sz w:val="28"/>
          <w:szCs w:val="28"/>
        </w:rPr>
        <w:t xml:space="preserve"> Providers from 16 States, </w:t>
      </w:r>
    </w:p>
    <w:p w14:paraId="043AE706" w14:textId="77777777" w:rsidR="00657344" w:rsidRPr="00FC35DD" w:rsidRDefault="00657344" w:rsidP="00657344">
      <w:pPr>
        <w:jc w:val="center"/>
        <w:rPr>
          <w:rFonts w:eastAsia="Times New Roman" w:cs="Times New Roman"/>
          <w:b/>
          <w:bCs/>
          <w:sz w:val="28"/>
          <w:szCs w:val="28"/>
        </w:rPr>
      </w:pPr>
      <w:r w:rsidRPr="00FC35DD">
        <w:rPr>
          <w:b/>
          <w:bCs/>
          <w:sz w:val="28"/>
          <w:szCs w:val="28"/>
        </w:rPr>
        <w:t>Puerto Rico and Jordan</w:t>
      </w:r>
    </w:p>
    <w:p w14:paraId="62BD7C7D" w14:textId="77777777" w:rsidR="00657344" w:rsidRDefault="00657344" w:rsidP="00657344">
      <w:pPr>
        <w:jc w:val="center"/>
        <w:rPr>
          <w:b/>
          <w:bCs/>
          <w:sz w:val="28"/>
          <w:szCs w:val="28"/>
        </w:rPr>
      </w:pPr>
      <w:r w:rsidRPr="00FC35DD">
        <w:rPr>
          <w:b/>
          <w:bCs/>
          <w:sz w:val="28"/>
          <w:szCs w:val="28"/>
        </w:rPr>
        <w:t xml:space="preserve">Recognized for Leadership in Continuous Improvement in honor of </w:t>
      </w:r>
    </w:p>
    <w:p w14:paraId="1A5DA0CD" w14:textId="77777777" w:rsidR="00657344" w:rsidRPr="00FC35DD" w:rsidRDefault="00657344" w:rsidP="00657344">
      <w:pPr>
        <w:jc w:val="center"/>
        <w:rPr>
          <w:rFonts w:eastAsia="Times New Roman" w:cs="Times New Roman"/>
          <w:b/>
          <w:bCs/>
          <w:sz w:val="28"/>
          <w:szCs w:val="28"/>
        </w:rPr>
      </w:pPr>
      <w:r w:rsidRPr="00FC35DD">
        <w:rPr>
          <w:b/>
          <w:bCs/>
          <w:sz w:val="28"/>
          <w:szCs w:val="28"/>
        </w:rPr>
        <w:t>Frank Murray</w:t>
      </w:r>
    </w:p>
    <w:p w14:paraId="14EEA6B3" w14:textId="77777777" w:rsidR="00657344" w:rsidRDefault="00657344" w:rsidP="00657344">
      <w:pPr>
        <w:jc w:val="center"/>
        <w:rPr>
          <w:rFonts w:ascii="Arial" w:eastAsia="Arial" w:hAnsi="Arial" w:cs="Arial"/>
          <w:i/>
          <w:iCs/>
          <w:sz w:val="26"/>
          <w:szCs w:val="26"/>
        </w:rPr>
      </w:pPr>
      <w:r w:rsidRPr="7E12BCF7">
        <w:rPr>
          <w:rFonts w:ascii="Arial" w:eastAsia="Arial" w:hAnsi="Arial" w:cs="Arial"/>
          <w:i/>
          <w:iCs/>
          <w:sz w:val="26"/>
          <w:szCs w:val="26"/>
        </w:rPr>
        <w:t xml:space="preserve">Murray providers produce nearly 7,500 high quality graduates ready to </w:t>
      </w:r>
    </w:p>
    <w:p w14:paraId="227DECC8" w14:textId="77777777" w:rsidR="00657344" w:rsidRPr="00E43226" w:rsidRDefault="00657344" w:rsidP="00657344">
      <w:pPr>
        <w:jc w:val="center"/>
        <w:rPr>
          <w:rFonts w:ascii="Arial" w:eastAsia="Arial" w:hAnsi="Arial" w:cs="Arial"/>
          <w:i/>
          <w:iCs/>
          <w:sz w:val="26"/>
          <w:szCs w:val="26"/>
        </w:rPr>
      </w:pPr>
      <w:r>
        <w:rPr>
          <w:rFonts w:ascii="Arial" w:eastAsia="Arial" w:hAnsi="Arial" w:cs="Arial"/>
          <w:i/>
          <w:iCs/>
          <w:sz w:val="26"/>
          <w:szCs w:val="26"/>
        </w:rPr>
        <w:t>make positive impact on P-12 learning</w:t>
      </w:r>
      <w:r w:rsidRPr="7EEB4ABA">
        <w:rPr>
          <w:rFonts w:ascii="Arial" w:eastAsia="Arial" w:hAnsi="Arial" w:cs="Arial"/>
          <w:i/>
          <w:iCs/>
          <w:sz w:val="26"/>
          <w:szCs w:val="26"/>
        </w:rPr>
        <w:t xml:space="preserve">  </w:t>
      </w:r>
    </w:p>
    <w:p w14:paraId="53F180A2" w14:textId="77777777" w:rsidR="00657344" w:rsidRDefault="00657344" w:rsidP="00657344">
      <w:pPr>
        <w:jc w:val="center"/>
        <w:rPr>
          <w:rFonts w:eastAsia="Times New Roman" w:cs="Times New Roman"/>
        </w:rPr>
      </w:pPr>
    </w:p>
    <w:p w14:paraId="72E0A7BB" w14:textId="77777777" w:rsidR="00657344" w:rsidRDefault="00657344" w:rsidP="00657344">
      <w:r>
        <w:t>WASHINGTON – The Council for the Accreditation of Educator Preparation (CAEP) announced today that Brigham Young University (BYU) Educator Preparation Program is one of 32 providers from 16 states, Puerto Rico, and Jordan</w:t>
      </w:r>
      <w:r w:rsidRPr="54FBB0D8">
        <w:rPr>
          <w:rFonts w:eastAsia="Times New Roman" w:cs="Times New Roman"/>
        </w:rPr>
        <w:t xml:space="preserve"> </w:t>
      </w:r>
      <w:r>
        <w:rPr>
          <w:rFonts w:eastAsia="Times New Roman" w:cs="Times New Roman"/>
        </w:rPr>
        <w:t xml:space="preserve">to </w:t>
      </w:r>
      <w:r w:rsidRPr="54FBB0D8">
        <w:rPr>
          <w:rFonts w:eastAsia="Times New Roman" w:cs="Times New Roman"/>
        </w:rPr>
        <w:t xml:space="preserve">receive </w:t>
      </w:r>
      <w:r>
        <w:t xml:space="preserve">recognition for their leadership and commitment to continuous improvement. The recipients of the 2022 Frank Murray Leadership Recognition for Continuous Improvement provided evidence and data trends to achieve accreditation with no stipulations or areas for improvement. </w:t>
      </w:r>
    </w:p>
    <w:p w14:paraId="2F8FABD1" w14:textId="77777777" w:rsidR="00657344" w:rsidRPr="000B2C68" w:rsidRDefault="00657344" w:rsidP="00657344">
      <w:r>
        <w:t xml:space="preserve"> </w:t>
      </w:r>
    </w:p>
    <w:p w14:paraId="35BF4692" w14:textId="77777777" w:rsidR="00657344" w:rsidRDefault="00657344" w:rsidP="00657344">
      <w:pPr>
        <w:rPr>
          <w:rFonts w:cs="Times New Roman"/>
        </w:rPr>
      </w:pPr>
      <w:r>
        <w:t xml:space="preserve">The Frank Murray Leadership Recognition for Continuous Improvement is named after the founding President of the Teacher Education Accreditation Council (TEAC). CAEP was created by the consolidation of the National Council for Accreditation of Teacher Education and TEAC. Murray was the founding President of TEAC, served as Chairman of the Board for TEAC and was also an initial member of the CAEP Board of Directors. He was a key advocate for a single set of educator preparation standards to unify the profession and was instrumental in the merger that created CAEP. He also served as the Dean of the College of Education </w:t>
      </w:r>
      <w:r w:rsidRPr="54FBB0D8">
        <w:rPr>
          <w:rFonts w:cs="Times New Roman"/>
        </w:rPr>
        <w:t>at the University of Delaware from 1979 to 1995.</w:t>
      </w:r>
    </w:p>
    <w:p w14:paraId="06031A1F" w14:textId="77777777" w:rsidR="00657344" w:rsidRPr="00D13F5B" w:rsidRDefault="00657344" w:rsidP="00657344">
      <w:pPr>
        <w:rPr>
          <w:rFonts w:eastAsia="Times New Roman" w:cs="Times New Roman"/>
        </w:rPr>
      </w:pPr>
    </w:p>
    <w:p w14:paraId="400DCAE3" w14:textId="77777777" w:rsidR="00657344" w:rsidRDefault="00657344" w:rsidP="00657344">
      <w:r>
        <w:t xml:space="preserve"> “Frank Murray was passionate about education preparation, a prominent leader in our profession, and an advocate for evidence to improve education. The providers that CAEP is recognizing are committed to continuous improvement and preparing their students to succeed in a diverse range of classrooms after they graduate,” said Yuhang Rong Chair of the CAEP Board of Directors. “CAEP Accreditation is a sign of commitment to quality through purposeful use of evidence. The Murray Leadership Recognition recipients should be proud of their accomplishments</w:t>
      </w:r>
      <w:r w:rsidRPr="01721A2C">
        <w:rPr>
          <w:rFonts w:eastAsia="Times New Roman" w:cs="Times New Roman"/>
        </w:rPr>
        <w:t xml:space="preserve">.” </w:t>
      </w:r>
    </w:p>
    <w:p w14:paraId="6C2D4612" w14:textId="77777777" w:rsidR="00657344" w:rsidRPr="001A6E05" w:rsidRDefault="00657344" w:rsidP="00657344"/>
    <w:p w14:paraId="1FE6180D" w14:textId="77777777" w:rsidR="00657344" w:rsidRDefault="00657344" w:rsidP="00657344">
      <w:pPr>
        <w:spacing w:after="411"/>
        <w:rPr>
          <w:rFonts w:cs="Times New Roman"/>
        </w:rPr>
      </w:pPr>
      <w:r w:rsidRPr="54FBB0D8">
        <w:rPr>
          <w:rFonts w:cs="Times New Roman"/>
        </w:rPr>
        <w:t>Recipients of the</w:t>
      </w:r>
      <w:r>
        <w:rPr>
          <w:rFonts w:cs="Times New Roman"/>
        </w:rPr>
        <w:t xml:space="preserve"> 2022</w:t>
      </w:r>
      <w:r w:rsidRPr="54FBB0D8">
        <w:rPr>
          <w:rFonts w:cs="Times New Roman"/>
        </w:rPr>
        <w:t xml:space="preserve"> Frank Murray Leadership Recognition for Continuous Improvement are selected from the </w:t>
      </w:r>
      <w:r>
        <w:rPr>
          <w:rFonts w:cs="Times New Roman"/>
        </w:rPr>
        <w:t>e</w:t>
      </w:r>
      <w:r w:rsidRPr="54FBB0D8">
        <w:rPr>
          <w:rFonts w:cs="Times New Roman"/>
        </w:rPr>
        <w:t xml:space="preserve">ducator </w:t>
      </w:r>
      <w:r>
        <w:rPr>
          <w:rFonts w:cs="Times New Roman"/>
        </w:rPr>
        <w:t>p</w:t>
      </w:r>
      <w:r w:rsidRPr="54FBB0D8">
        <w:rPr>
          <w:rFonts w:cs="Times New Roman"/>
        </w:rPr>
        <w:t xml:space="preserve">reparation </w:t>
      </w:r>
      <w:r>
        <w:rPr>
          <w:rFonts w:cs="Times New Roman"/>
        </w:rPr>
        <w:t>p</w:t>
      </w:r>
      <w:r w:rsidRPr="54FBB0D8">
        <w:rPr>
          <w:rFonts w:cs="Times New Roman"/>
        </w:rPr>
        <w:t xml:space="preserve">roviders (EPPs) that were granted accreditation by CAEP </w:t>
      </w:r>
      <w:r>
        <w:rPr>
          <w:rFonts w:cs="Times New Roman"/>
        </w:rPr>
        <w:t xml:space="preserve">at the initial level </w:t>
      </w:r>
      <w:r w:rsidRPr="54FBB0D8">
        <w:rPr>
          <w:rFonts w:cs="Times New Roman"/>
        </w:rPr>
        <w:t xml:space="preserve">from the previous year, who provided </w:t>
      </w:r>
      <w:r>
        <w:rPr>
          <w:rFonts w:cs="Times New Roman"/>
        </w:rPr>
        <w:t xml:space="preserve">a full complement of </w:t>
      </w:r>
      <w:r w:rsidRPr="54FBB0D8">
        <w:rPr>
          <w:rFonts w:cs="Times New Roman"/>
        </w:rPr>
        <w:t xml:space="preserve">evidence </w:t>
      </w:r>
      <w:r>
        <w:rPr>
          <w:rFonts w:cs="Times New Roman"/>
        </w:rPr>
        <w:t>with</w:t>
      </w:r>
      <w:r w:rsidRPr="54FBB0D8">
        <w:rPr>
          <w:rFonts w:cs="Times New Roman"/>
        </w:rPr>
        <w:t xml:space="preserve"> demonstrated data trends </w:t>
      </w:r>
      <w:r>
        <w:rPr>
          <w:rFonts w:cs="Times New Roman"/>
        </w:rPr>
        <w:t>and</w:t>
      </w:r>
      <w:r w:rsidRPr="54FBB0D8">
        <w:rPr>
          <w:rFonts w:cs="Times New Roman"/>
        </w:rPr>
        <w:t xml:space="preserve"> no stipulations or areas for improvement. Providers selected for recognition advance equity and excellence in educator preparation through purposeful use of self-study procedures and evidence-based reporting that assure quality and support continuous improvement to strengthen P-12 learning. These EPPs </w:t>
      </w:r>
      <w:r>
        <w:rPr>
          <w:rFonts w:cs="Times New Roman"/>
        </w:rPr>
        <w:t xml:space="preserve">use inquiry and assessments to establish quality assurance systems to drive improvement. </w:t>
      </w:r>
    </w:p>
    <w:p w14:paraId="593579C5" w14:textId="27ACB9B9" w:rsidR="00657344" w:rsidRPr="005D1D12" w:rsidRDefault="00657344" w:rsidP="00657344">
      <w:pPr>
        <w:pStyle w:val="paragraph"/>
        <w:spacing w:before="0" w:beforeAutospacing="0" w:after="0" w:afterAutospacing="0"/>
        <w:textAlignment w:val="baseline"/>
        <w:rPr>
          <w:rFonts w:ascii="Segoe UI" w:hAnsi="Segoe UI" w:cs="Segoe UI"/>
          <w:sz w:val="18"/>
          <w:szCs w:val="18"/>
        </w:rPr>
      </w:pPr>
      <w:r>
        <w:rPr>
          <w:rStyle w:val="normaltextrun"/>
        </w:rPr>
        <w:lastRenderedPageBreak/>
        <w:t>Brigham Young University Educator Preparation Program consists of 2</w:t>
      </w:r>
      <w:r w:rsidR="001A2ABE">
        <w:rPr>
          <w:rStyle w:val="normaltextrun"/>
        </w:rPr>
        <w:t>6</w:t>
      </w:r>
      <w:r>
        <w:rPr>
          <w:rStyle w:val="normaltextrun"/>
        </w:rPr>
        <w:t xml:space="preserve"> majors, 2</w:t>
      </w:r>
      <w:r w:rsidR="001A2ABE">
        <w:rPr>
          <w:rStyle w:val="normaltextrun"/>
        </w:rPr>
        <w:t>1</w:t>
      </w:r>
      <w:r>
        <w:rPr>
          <w:rStyle w:val="normaltextrun"/>
        </w:rPr>
        <w:t xml:space="preserve"> minors,</w:t>
      </w:r>
      <w:r w:rsidR="001A2ABE">
        <w:rPr>
          <w:rStyle w:val="normaltextrun"/>
        </w:rPr>
        <w:t xml:space="preserve"> 4 </w:t>
      </w:r>
      <w:proofErr w:type="gramStart"/>
      <w:r w:rsidR="001A2ABE">
        <w:rPr>
          <w:rStyle w:val="normaltextrun"/>
        </w:rPr>
        <w:t>licensure</w:t>
      </w:r>
      <w:proofErr w:type="gramEnd"/>
      <w:r w:rsidR="001A2ABE">
        <w:rPr>
          <w:rStyle w:val="normaltextrun"/>
        </w:rPr>
        <w:t xml:space="preserve"> only,</w:t>
      </w:r>
      <w:r>
        <w:rPr>
          <w:rStyle w:val="normaltextrun"/>
        </w:rPr>
        <w:t xml:space="preserve"> and two advanced programs spread across seven colleges.  BYU proudly participates in the BYU-Public School Partnership which includes the five local school districts of Alpine, Jordan, Nebo, Provo City, and Wasatch</w:t>
      </w:r>
      <w:r w:rsidR="00C00772">
        <w:rPr>
          <w:rStyle w:val="normaltextrun"/>
        </w:rPr>
        <w:t xml:space="preserve"> County</w:t>
      </w:r>
      <w:r>
        <w:rPr>
          <w:rStyle w:val="normaltextrun"/>
        </w:rPr>
        <w:t>.</w:t>
      </w:r>
    </w:p>
    <w:p w14:paraId="738D6C9B" w14:textId="77777777" w:rsidR="00657344" w:rsidRDefault="00657344" w:rsidP="00657344">
      <w:pPr>
        <w:pStyle w:val="paragraph"/>
        <w:spacing w:before="0" w:beforeAutospacing="0" w:after="0" w:afterAutospacing="0"/>
        <w:textAlignment w:val="baseline"/>
        <w:rPr>
          <w:rFonts w:ascii="Segoe UI" w:hAnsi="Segoe UI" w:cs="Segoe UI"/>
          <w:sz w:val="18"/>
          <w:szCs w:val="18"/>
        </w:rPr>
      </w:pPr>
      <w:r>
        <w:rPr>
          <w:rStyle w:val="eop"/>
        </w:rPr>
        <w:t> </w:t>
      </w:r>
    </w:p>
    <w:p w14:paraId="138C61AF" w14:textId="77777777" w:rsidR="00657344" w:rsidRDefault="00657344" w:rsidP="00657344">
      <w:pPr>
        <w:pStyle w:val="paragraph"/>
        <w:spacing w:before="0" w:beforeAutospacing="0" w:after="0" w:afterAutospacing="0"/>
        <w:textAlignment w:val="baseline"/>
        <w:rPr>
          <w:rStyle w:val="eop"/>
        </w:rPr>
      </w:pPr>
      <w:r>
        <w:rPr>
          <w:rStyle w:val="normaltextrun"/>
        </w:rPr>
        <w:t>“We are very proud of our students and faculty and the work they do, day in and day out. This recognition shows that we are among the top educator preparation providers in the nation,” said Brent Chowen, Director of the BYU Educator Preparation Program. “Not only have we sought out CAEP Accreditation, the gold standard for educator preparation, this recognition provides validation that our students and their families are investing in an education program that is second to none.”</w:t>
      </w:r>
      <w:r>
        <w:rPr>
          <w:rStyle w:val="eop"/>
        </w:rPr>
        <w:t> </w:t>
      </w:r>
    </w:p>
    <w:p w14:paraId="0B8C354B" w14:textId="77777777" w:rsidR="00657344" w:rsidRPr="00FC35DD" w:rsidRDefault="00657344" w:rsidP="00657344">
      <w:pPr>
        <w:pStyle w:val="paragraph"/>
        <w:spacing w:before="0" w:beforeAutospacing="0" w:after="0" w:afterAutospacing="0"/>
        <w:textAlignment w:val="baseline"/>
        <w:rPr>
          <w:rFonts w:ascii="Segoe UI" w:hAnsi="Segoe UI" w:cs="Segoe UI"/>
          <w:sz w:val="18"/>
          <w:szCs w:val="18"/>
        </w:rPr>
      </w:pPr>
    </w:p>
    <w:p w14:paraId="7822D668" w14:textId="3C5C33FC" w:rsidR="00657344" w:rsidRDefault="00657344" w:rsidP="00657344">
      <w:r w:rsidRPr="54FBB0D8">
        <w:rPr>
          <w:rFonts w:cs="Times New Roman"/>
        </w:rPr>
        <w:t xml:space="preserve">CAEP accreditation serves the dual purposes of accountability and continuous improvement.  </w:t>
      </w:r>
      <w:r>
        <w:rPr>
          <w:rFonts w:cs="Times New Roman"/>
        </w:rPr>
        <w:t>471</w:t>
      </w:r>
      <w:r w:rsidRPr="54FBB0D8">
        <w:rPr>
          <w:rFonts w:cs="Times New Roman"/>
        </w:rPr>
        <w:t xml:space="preserve"> educator preparation providers in 4</w:t>
      </w:r>
      <w:r>
        <w:rPr>
          <w:rFonts w:cs="Times New Roman"/>
        </w:rPr>
        <w:t>5</w:t>
      </w:r>
      <w:r w:rsidRPr="54FBB0D8">
        <w:rPr>
          <w:rFonts w:cs="Times New Roman"/>
        </w:rPr>
        <w:t xml:space="preserve"> states</w:t>
      </w:r>
      <w:r>
        <w:rPr>
          <w:rFonts w:cs="Times New Roman"/>
        </w:rPr>
        <w:t>, the District of Columbia, Puerto Rico, Jordan, and the United Arab Emirates</w:t>
      </w:r>
      <w:r w:rsidRPr="54FBB0D8">
        <w:rPr>
          <w:rFonts w:cs="Times New Roman"/>
        </w:rPr>
        <w:t xml:space="preserve"> have been accredited under the CAEP Standards. The CAEP accreditation process evaluates the performance of providers</w:t>
      </w:r>
      <w:r w:rsidRPr="54FBB0D8">
        <w:rPr>
          <w:rFonts w:eastAsia="Times New Roman" w:cs="Times New Roman"/>
        </w:rPr>
        <w:t xml:space="preserve"> and focuses particularly on whether candidates will be prepared, by completion, for the challenging responsibilities that educators face in America’s classrooms.</w:t>
      </w:r>
      <w:r>
        <w:rPr>
          <w:rFonts w:cs="Times New Roman"/>
        </w:rPr>
        <w:t xml:space="preserve"> Approximately</w:t>
      </w:r>
      <w:r w:rsidRPr="54FBB0D8">
        <w:rPr>
          <w:rFonts w:cs="Times New Roman"/>
        </w:rPr>
        <w:t xml:space="preserve">, </w:t>
      </w:r>
      <w:r>
        <w:rPr>
          <w:rFonts w:cs="Times New Roman"/>
        </w:rPr>
        <w:t>600</w:t>
      </w:r>
      <w:r w:rsidRPr="54FBB0D8">
        <w:rPr>
          <w:rFonts w:cs="Times New Roman"/>
        </w:rPr>
        <w:t xml:space="preserve"> educator preparation providers participate in the CAEP Accreditatio</w:t>
      </w:r>
      <w:r>
        <w:rPr>
          <w:rFonts w:cs="Times New Roman"/>
        </w:rPr>
        <w:t>n system, including many previously accredited through former standards.</w:t>
      </w:r>
    </w:p>
    <w:p w14:paraId="72F631CC" w14:textId="77777777" w:rsidR="00657344" w:rsidRDefault="00657344" w:rsidP="00657344"/>
    <w:p w14:paraId="5AA89476" w14:textId="1673C917" w:rsidR="00D05109" w:rsidRDefault="007F1020" w:rsidP="00D05109">
      <w:pPr>
        <w:jc w:val="center"/>
      </w:pPr>
      <w:r>
        <w:t>Frank Murray</w:t>
      </w:r>
      <w:r w:rsidR="17285AA7">
        <w:t xml:space="preserve"> </w:t>
      </w:r>
      <w:r>
        <w:t>Recognition</w:t>
      </w:r>
      <w:r w:rsidR="000B2C68">
        <w:t xml:space="preserve"> for Continuous Improvement</w:t>
      </w:r>
    </w:p>
    <w:p w14:paraId="0E7F0665" w14:textId="3A24FC60" w:rsidR="00D13F5B" w:rsidRDefault="00D13F5B" w:rsidP="00D05109">
      <w:pPr>
        <w:jc w:val="center"/>
      </w:pPr>
    </w:p>
    <w:p w14:paraId="7546271A" w14:textId="77777777" w:rsidR="00DA21B0" w:rsidRDefault="00DA21B0" w:rsidP="00DA21B0">
      <w:pPr>
        <w:jc w:val="center"/>
        <w:rPr>
          <w:szCs w:val="24"/>
        </w:rPr>
        <w:sectPr w:rsidR="00DA21B0" w:rsidSect="004A5490">
          <w:headerReference w:type="even" r:id="rId10"/>
          <w:headerReference w:type="default" r:id="rId11"/>
          <w:footerReference w:type="even" r:id="rId12"/>
          <w:footerReference w:type="default" r:id="rId13"/>
          <w:headerReference w:type="first" r:id="rId14"/>
          <w:footerReference w:type="first" r:id="rId15"/>
          <w:type w:val="continuous"/>
          <w:pgSz w:w="12240" w:h="15840"/>
          <w:pgMar w:top="1440" w:right="1440" w:bottom="1440" w:left="1440" w:header="900" w:footer="720" w:gutter="0"/>
          <w:cols w:space="720"/>
          <w:docGrid w:linePitch="360"/>
        </w:sectPr>
      </w:pPr>
    </w:p>
    <w:p w14:paraId="64919B3A" w14:textId="77777777" w:rsidR="00DA21B0" w:rsidRPr="0099426A" w:rsidRDefault="00DA21B0" w:rsidP="00DA21B0">
      <w:pPr>
        <w:jc w:val="center"/>
        <w:rPr>
          <w:szCs w:val="24"/>
        </w:rPr>
      </w:pPr>
      <w:r w:rsidRPr="0099426A">
        <w:rPr>
          <w:szCs w:val="24"/>
        </w:rPr>
        <w:t>Appalachian State University—North Carolina</w:t>
      </w:r>
    </w:p>
    <w:p w14:paraId="40FCF8C8" w14:textId="77777777" w:rsidR="00DA21B0" w:rsidRPr="0099426A" w:rsidRDefault="00DA21B0" w:rsidP="00DA21B0">
      <w:pPr>
        <w:jc w:val="center"/>
        <w:rPr>
          <w:szCs w:val="24"/>
        </w:rPr>
      </w:pPr>
      <w:r w:rsidRPr="0099426A">
        <w:rPr>
          <w:szCs w:val="24"/>
        </w:rPr>
        <w:t>Austin Peay University—Tennessee</w:t>
      </w:r>
    </w:p>
    <w:p w14:paraId="43E0DC09" w14:textId="77777777" w:rsidR="00DA21B0" w:rsidRPr="0099426A" w:rsidRDefault="00DA21B0" w:rsidP="00DA21B0">
      <w:pPr>
        <w:jc w:val="center"/>
        <w:rPr>
          <w:szCs w:val="24"/>
        </w:rPr>
      </w:pPr>
      <w:r w:rsidRPr="0099426A">
        <w:rPr>
          <w:szCs w:val="24"/>
        </w:rPr>
        <w:t>Averett University—Virginia</w:t>
      </w:r>
    </w:p>
    <w:p w14:paraId="246614C5" w14:textId="77777777" w:rsidR="00DA21B0" w:rsidRPr="0099426A" w:rsidRDefault="00DA21B0" w:rsidP="00DA21B0">
      <w:pPr>
        <w:jc w:val="center"/>
        <w:rPr>
          <w:szCs w:val="24"/>
        </w:rPr>
      </w:pPr>
      <w:r w:rsidRPr="0099426A">
        <w:rPr>
          <w:szCs w:val="24"/>
        </w:rPr>
        <w:t>Brigham Young University—Utah</w:t>
      </w:r>
    </w:p>
    <w:p w14:paraId="7B3798B0" w14:textId="77777777" w:rsidR="00DA21B0" w:rsidRPr="0099426A" w:rsidRDefault="00DA21B0" w:rsidP="00DA21B0">
      <w:pPr>
        <w:jc w:val="center"/>
        <w:rPr>
          <w:szCs w:val="24"/>
        </w:rPr>
      </w:pPr>
      <w:r w:rsidRPr="0099426A">
        <w:rPr>
          <w:szCs w:val="24"/>
        </w:rPr>
        <w:t>California University of Pennsylvania</w:t>
      </w:r>
    </w:p>
    <w:p w14:paraId="1EE990F3" w14:textId="77777777" w:rsidR="00DA21B0" w:rsidRPr="0099426A" w:rsidRDefault="00DA21B0" w:rsidP="00DA21B0">
      <w:pPr>
        <w:jc w:val="center"/>
        <w:rPr>
          <w:szCs w:val="24"/>
        </w:rPr>
      </w:pPr>
      <w:r w:rsidRPr="0099426A">
        <w:rPr>
          <w:szCs w:val="24"/>
        </w:rPr>
        <w:t>Clemson University—South Carolina</w:t>
      </w:r>
    </w:p>
    <w:p w14:paraId="016A7B3F" w14:textId="77777777" w:rsidR="00DA21B0" w:rsidRPr="0099426A" w:rsidRDefault="00DA21B0" w:rsidP="00DA21B0">
      <w:pPr>
        <w:jc w:val="center"/>
        <w:rPr>
          <w:szCs w:val="24"/>
        </w:rPr>
      </w:pPr>
      <w:r w:rsidRPr="0099426A">
        <w:rPr>
          <w:szCs w:val="24"/>
        </w:rPr>
        <w:t>Delta State University—Mississippi</w:t>
      </w:r>
    </w:p>
    <w:p w14:paraId="6D06BF81" w14:textId="77777777" w:rsidR="00DA21B0" w:rsidRPr="0099426A" w:rsidRDefault="00DA21B0" w:rsidP="00DA21B0">
      <w:pPr>
        <w:jc w:val="center"/>
        <w:rPr>
          <w:szCs w:val="24"/>
        </w:rPr>
      </w:pPr>
      <w:r w:rsidRPr="0099426A">
        <w:rPr>
          <w:szCs w:val="24"/>
        </w:rPr>
        <w:t>East Tennessee State University</w:t>
      </w:r>
    </w:p>
    <w:p w14:paraId="36EDAABB" w14:textId="77777777" w:rsidR="00DA21B0" w:rsidRPr="0099426A" w:rsidRDefault="00DA21B0" w:rsidP="00DA21B0">
      <w:pPr>
        <w:jc w:val="center"/>
        <w:rPr>
          <w:szCs w:val="24"/>
        </w:rPr>
      </w:pPr>
      <w:r w:rsidRPr="0099426A">
        <w:rPr>
          <w:szCs w:val="24"/>
        </w:rPr>
        <w:t>Eastern Connecticut State University</w:t>
      </w:r>
    </w:p>
    <w:p w14:paraId="56BB987B" w14:textId="77777777" w:rsidR="00DA21B0" w:rsidRPr="0099426A" w:rsidRDefault="00DA21B0" w:rsidP="00DA21B0">
      <w:pPr>
        <w:jc w:val="center"/>
        <w:rPr>
          <w:szCs w:val="24"/>
        </w:rPr>
      </w:pPr>
      <w:r w:rsidRPr="0099426A">
        <w:rPr>
          <w:szCs w:val="24"/>
        </w:rPr>
        <w:t>Emory and Henry College—Virginia</w:t>
      </w:r>
    </w:p>
    <w:p w14:paraId="75D58AA3" w14:textId="77777777" w:rsidR="00DA21B0" w:rsidRPr="0099426A" w:rsidRDefault="00DA21B0" w:rsidP="00DA21B0">
      <w:pPr>
        <w:jc w:val="center"/>
        <w:rPr>
          <w:szCs w:val="24"/>
        </w:rPr>
      </w:pPr>
      <w:r w:rsidRPr="0099426A">
        <w:rPr>
          <w:szCs w:val="24"/>
        </w:rPr>
        <w:t>Furman University—South Carolina</w:t>
      </w:r>
    </w:p>
    <w:p w14:paraId="1C3474E5" w14:textId="77777777" w:rsidR="00DA21B0" w:rsidRPr="0099426A" w:rsidRDefault="00DA21B0" w:rsidP="00DA21B0">
      <w:pPr>
        <w:jc w:val="center"/>
        <w:rPr>
          <w:szCs w:val="24"/>
        </w:rPr>
      </w:pPr>
      <w:r w:rsidRPr="0099426A">
        <w:rPr>
          <w:szCs w:val="24"/>
        </w:rPr>
        <w:t>Georgian Court University—New Jersey</w:t>
      </w:r>
    </w:p>
    <w:p w14:paraId="23753B67" w14:textId="77777777" w:rsidR="00DA21B0" w:rsidRPr="0099426A" w:rsidRDefault="00DA21B0" w:rsidP="00DA21B0">
      <w:pPr>
        <w:jc w:val="center"/>
        <w:rPr>
          <w:szCs w:val="24"/>
        </w:rPr>
      </w:pPr>
      <w:r w:rsidRPr="0099426A">
        <w:rPr>
          <w:szCs w:val="24"/>
        </w:rPr>
        <w:t>Kutztown University of Pennsylvania</w:t>
      </w:r>
    </w:p>
    <w:p w14:paraId="63749976" w14:textId="77777777" w:rsidR="00DA21B0" w:rsidRPr="0099426A" w:rsidRDefault="00DA21B0" w:rsidP="00DA21B0">
      <w:pPr>
        <w:jc w:val="center"/>
        <w:rPr>
          <w:szCs w:val="24"/>
        </w:rPr>
      </w:pPr>
      <w:r w:rsidRPr="0099426A">
        <w:rPr>
          <w:szCs w:val="24"/>
        </w:rPr>
        <w:t>Lehman College-CUNY—New York</w:t>
      </w:r>
    </w:p>
    <w:p w14:paraId="0B3022CE" w14:textId="77777777" w:rsidR="00DA21B0" w:rsidRPr="0099426A" w:rsidRDefault="00DA21B0" w:rsidP="00DA21B0">
      <w:pPr>
        <w:jc w:val="center"/>
        <w:rPr>
          <w:szCs w:val="24"/>
        </w:rPr>
      </w:pPr>
      <w:r w:rsidRPr="0099426A">
        <w:rPr>
          <w:szCs w:val="24"/>
        </w:rPr>
        <w:t>Mary Baldwin University—Virginia</w:t>
      </w:r>
    </w:p>
    <w:p w14:paraId="50B3F1A2" w14:textId="77777777" w:rsidR="00DA21B0" w:rsidRPr="0099426A" w:rsidRDefault="00DA21B0" w:rsidP="00DA21B0">
      <w:pPr>
        <w:jc w:val="center"/>
        <w:rPr>
          <w:szCs w:val="24"/>
        </w:rPr>
      </w:pPr>
      <w:r w:rsidRPr="0099426A">
        <w:rPr>
          <w:szCs w:val="24"/>
        </w:rPr>
        <w:t>Middle Tennessee State University</w:t>
      </w:r>
    </w:p>
    <w:p w14:paraId="2249A18E" w14:textId="77777777" w:rsidR="00DA21B0" w:rsidRPr="0099426A" w:rsidRDefault="00DA21B0" w:rsidP="00DA21B0">
      <w:pPr>
        <w:jc w:val="center"/>
        <w:rPr>
          <w:szCs w:val="24"/>
        </w:rPr>
      </w:pPr>
      <w:r w:rsidRPr="0099426A">
        <w:rPr>
          <w:szCs w:val="24"/>
        </w:rPr>
        <w:t>Milligan University—Tennessee</w:t>
      </w:r>
    </w:p>
    <w:p w14:paraId="7DC785EC" w14:textId="77777777" w:rsidR="00DA21B0" w:rsidRPr="0099426A" w:rsidRDefault="00DA21B0" w:rsidP="00DA21B0">
      <w:pPr>
        <w:jc w:val="center"/>
        <w:rPr>
          <w:szCs w:val="24"/>
        </w:rPr>
      </w:pPr>
      <w:r w:rsidRPr="0099426A">
        <w:rPr>
          <w:szCs w:val="24"/>
        </w:rPr>
        <w:t>Montclair State University—New Jersey</w:t>
      </w:r>
    </w:p>
    <w:p w14:paraId="6A69978F" w14:textId="77777777" w:rsidR="00DA21B0" w:rsidRPr="0099426A" w:rsidRDefault="00DA21B0" w:rsidP="00DA21B0">
      <w:pPr>
        <w:jc w:val="center"/>
        <w:rPr>
          <w:szCs w:val="24"/>
        </w:rPr>
      </w:pPr>
      <w:r w:rsidRPr="0099426A">
        <w:rPr>
          <w:szCs w:val="24"/>
        </w:rPr>
        <w:t>Oral Roberts University—Oklahoma</w:t>
      </w:r>
    </w:p>
    <w:p w14:paraId="6FE82748" w14:textId="77777777" w:rsidR="00DA21B0" w:rsidRPr="0099426A" w:rsidRDefault="00DA21B0" w:rsidP="00DA21B0">
      <w:pPr>
        <w:jc w:val="center"/>
        <w:rPr>
          <w:szCs w:val="24"/>
        </w:rPr>
      </w:pPr>
      <w:r w:rsidRPr="0099426A">
        <w:rPr>
          <w:szCs w:val="24"/>
        </w:rPr>
        <w:t>Queen Rania Teacher Academy—Jordan</w:t>
      </w:r>
    </w:p>
    <w:p w14:paraId="3837E94C" w14:textId="77777777" w:rsidR="00DA21B0" w:rsidRPr="0099426A" w:rsidRDefault="00DA21B0" w:rsidP="00DA21B0">
      <w:pPr>
        <w:jc w:val="center"/>
        <w:rPr>
          <w:szCs w:val="24"/>
        </w:rPr>
      </w:pPr>
      <w:r w:rsidRPr="0099426A">
        <w:rPr>
          <w:szCs w:val="24"/>
        </w:rPr>
        <w:t>Rutgers University—New Jersey</w:t>
      </w:r>
    </w:p>
    <w:p w14:paraId="53FDD110" w14:textId="77777777" w:rsidR="00DA21B0" w:rsidRPr="0099426A" w:rsidRDefault="00DA21B0" w:rsidP="00DA21B0">
      <w:pPr>
        <w:jc w:val="center"/>
        <w:rPr>
          <w:szCs w:val="24"/>
        </w:rPr>
      </w:pPr>
      <w:r w:rsidRPr="0099426A">
        <w:rPr>
          <w:szCs w:val="24"/>
        </w:rPr>
        <w:t>Southern Connecticut State University</w:t>
      </w:r>
    </w:p>
    <w:p w14:paraId="4B4A4574" w14:textId="77777777" w:rsidR="00DA21B0" w:rsidRPr="0099426A" w:rsidRDefault="00DA21B0" w:rsidP="00DA21B0">
      <w:pPr>
        <w:jc w:val="center"/>
        <w:rPr>
          <w:szCs w:val="24"/>
        </w:rPr>
      </w:pPr>
      <w:r w:rsidRPr="0099426A">
        <w:rPr>
          <w:szCs w:val="24"/>
        </w:rPr>
        <w:t>Taylor University—Indiana</w:t>
      </w:r>
    </w:p>
    <w:p w14:paraId="7B574988" w14:textId="77777777" w:rsidR="00DA21B0" w:rsidRPr="0099426A" w:rsidRDefault="00DA21B0" w:rsidP="00DA21B0">
      <w:pPr>
        <w:jc w:val="center"/>
        <w:rPr>
          <w:szCs w:val="24"/>
        </w:rPr>
      </w:pPr>
      <w:r w:rsidRPr="0099426A">
        <w:rPr>
          <w:szCs w:val="24"/>
        </w:rPr>
        <w:t>The Citadel-The Military College of South Carolina</w:t>
      </w:r>
    </w:p>
    <w:p w14:paraId="5EACD0CE" w14:textId="77777777" w:rsidR="00DA21B0" w:rsidRPr="0099426A" w:rsidRDefault="00DA21B0" w:rsidP="00DA21B0">
      <w:pPr>
        <w:jc w:val="center"/>
        <w:rPr>
          <w:szCs w:val="24"/>
        </w:rPr>
      </w:pPr>
      <w:r w:rsidRPr="0099426A">
        <w:rPr>
          <w:szCs w:val="24"/>
        </w:rPr>
        <w:t>The University of North Carolina at Greensboro</w:t>
      </w:r>
    </w:p>
    <w:p w14:paraId="26D345FB" w14:textId="77777777" w:rsidR="00DA21B0" w:rsidRPr="0099426A" w:rsidRDefault="00DA21B0" w:rsidP="00DA21B0">
      <w:pPr>
        <w:jc w:val="center"/>
        <w:rPr>
          <w:szCs w:val="24"/>
        </w:rPr>
      </w:pPr>
      <w:r w:rsidRPr="0099426A">
        <w:rPr>
          <w:szCs w:val="24"/>
        </w:rPr>
        <w:t>University of Kansas</w:t>
      </w:r>
    </w:p>
    <w:p w14:paraId="12306B2E" w14:textId="77777777" w:rsidR="00DA21B0" w:rsidRPr="0099426A" w:rsidRDefault="00DA21B0" w:rsidP="00DA21B0">
      <w:pPr>
        <w:jc w:val="center"/>
        <w:rPr>
          <w:szCs w:val="24"/>
        </w:rPr>
      </w:pPr>
      <w:r w:rsidRPr="0099426A">
        <w:rPr>
          <w:szCs w:val="24"/>
        </w:rPr>
        <w:t>University of North Georgia</w:t>
      </w:r>
    </w:p>
    <w:p w14:paraId="668C71A4" w14:textId="77777777" w:rsidR="00DA21B0" w:rsidRPr="0099426A" w:rsidRDefault="00DA21B0" w:rsidP="00DA21B0">
      <w:pPr>
        <w:jc w:val="center"/>
        <w:rPr>
          <w:szCs w:val="24"/>
        </w:rPr>
      </w:pPr>
      <w:r w:rsidRPr="0099426A">
        <w:rPr>
          <w:szCs w:val="24"/>
        </w:rPr>
        <w:t>University of Pikeville—Kentucky</w:t>
      </w:r>
    </w:p>
    <w:p w14:paraId="34F087AE" w14:textId="77777777" w:rsidR="00DA21B0" w:rsidRPr="0099426A" w:rsidRDefault="00DA21B0" w:rsidP="00DA21B0">
      <w:pPr>
        <w:jc w:val="center"/>
        <w:rPr>
          <w:szCs w:val="24"/>
        </w:rPr>
      </w:pPr>
      <w:r w:rsidRPr="0099426A">
        <w:rPr>
          <w:szCs w:val="24"/>
        </w:rPr>
        <w:t>University of Puerto Rico at Bayamon</w:t>
      </w:r>
    </w:p>
    <w:p w14:paraId="0A91F5A8" w14:textId="77777777" w:rsidR="00DA21B0" w:rsidRPr="0099426A" w:rsidRDefault="00DA21B0" w:rsidP="00DA21B0">
      <w:pPr>
        <w:jc w:val="center"/>
        <w:rPr>
          <w:szCs w:val="24"/>
        </w:rPr>
      </w:pPr>
      <w:r w:rsidRPr="0099426A">
        <w:rPr>
          <w:szCs w:val="24"/>
        </w:rPr>
        <w:t>Virginia Commonwealth University</w:t>
      </w:r>
    </w:p>
    <w:p w14:paraId="1C89E089" w14:textId="77777777" w:rsidR="00DA21B0" w:rsidRPr="0099426A" w:rsidRDefault="00DA21B0" w:rsidP="00DA21B0">
      <w:pPr>
        <w:jc w:val="center"/>
        <w:rPr>
          <w:szCs w:val="24"/>
        </w:rPr>
      </w:pPr>
      <w:r w:rsidRPr="0099426A">
        <w:rPr>
          <w:szCs w:val="24"/>
        </w:rPr>
        <w:t>Webster University—Missouri</w:t>
      </w:r>
    </w:p>
    <w:p w14:paraId="7077AB94" w14:textId="77777777" w:rsidR="00DA21B0" w:rsidRPr="0099426A" w:rsidRDefault="00DA21B0" w:rsidP="00DA21B0">
      <w:pPr>
        <w:jc w:val="center"/>
        <w:rPr>
          <w:szCs w:val="24"/>
        </w:rPr>
      </w:pPr>
      <w:r w:rsidRPr="0099426A">
        <w:rPr>
          <w:szCs w:val="24"/>
        </w:rPr>
        <w:t>Western Carolina University—North Carolina</w:t>
      </w:r>
    </w:p>
    <w:p w14:paraId="1F570569" w14:textId="77777777" w:rsidR="00DA21B0" w:rsidRDefault="00DA21B0" w:rsidP="00F1384E">
      <w:pPr>
        <w:jc w:val="center"/>
        <w:sectPr w:rsidR="00DA21B0" w:rsidSect="004A5490">
          <w:type w:val="continuous"/>
          <w:pgSz w:w="12240" w:h="15840"/>
          <w:pgMar w:top="1440" w:right="1440" w:bottom="1440" w:left="1440" w:header="900" w:footer="720" w:gutter="0"/>
          <w:cols w:num="2" w:space="720"/>
          <w:docGrid w:linePitch="360"/>
        </w:sectPr>
      </w:pPr>
    </w:p>
    <w:p w14:paraId="05E0AB2C" w14:textId="77777777" w:rsidR="008560FE" w:rsidRDefault="008560FE" w:rsidP="00657344">
      <w:pPr>
        <w:sectPr w:rsidR="008560FE" w:rsidSect="004A5490">
          <w:type w:val="continuous"/>
          <w:pgSz w:w="12240" w:h="15840"/>
          <w:pgMar w:top="1440" w:right="1440" w:bottom="1440" w:left="1440" w:header="900" w:footer="720" w:gutter="0"/>
          <w:cols w:space="720"/>
          <w:docGrid w:linePitch="360"/>
        </w:sectPr>
      </w:pPr>
    </w:p>
    <w:p w14:paraId="60D38C6C" w14:textId="77777777" w:rsidR="008560FE" w:rsidRDefault="008560FE" w:rsidP="00657344">
      <w:pPr>
        <w:sectPr w:rsidR="008560FE" w:rsidSect="004A5490">
          <w:type w:val="continuous"/>
          <w:pgSz w:w="12240" w:h="15840"/>
          <w:pgMar w:top="1440" w:right="1440" w:bottom="1440" w:left="1440" w:header="900" w:footer="720" w:gutter="0"/>
          <w:cols w:num="2" w:space="720"/>
          <w:docGrid w:linePitch="360"/>
        </w:sectPr>
      </w:pPr>
    </w:p>
    <w:p w14:paraId="493BF96C" w14:textId="17137747" w:rsidR="008560FE" w:rsidRDefault="008560FE" w:rsidP="00657344"/>
    <w:p w14:paraId="08890747" w14:textId="77777777" w:rsidR="00D05109" w:rsidRDefault="00D05109" w:rsidP="00FC546C">
      <w:pPr>
        <w:rPr>
          <w:rFonts w:cs="Times New Roman"/>
        </w:rPr>
        <w:sectPr w:rsidR="00D05109" w:rsidSect="004A5490">
          <w:headerReference w:type="even" r:id="rId16"/>
          <w:headerReference w:type="default" r:id="rId17"/>
          <w:footerReference w:type="even" r:id="rId18"/>
          <w:footerReference w:type="default" r:id="rId19"/>
          <w:type w:val="continuous"/>
          <w:pgSz w:w="12240" w:h="15840"/>
          <w:pgMar w:top="1440" w:right="1440" w:bottom="1440" w:left="1440" w:header="900" w:footer="720" w:gutter="0"/>
          <w:cols w:num="2" w:space="720"/>
          <w:docGrid w:linePitch="360"/>
        </w:sectPr>
      </w:pPr>
    </w:p>
    <w:p w14:paraId="52FA606E" w14:textId="77777777" w:rsidR="00517DF5" w:rsidRDefault="01721A2C" w:rsidP="00517DF5">
      <w:pPr>
        <w:jc w:val="center"/>
      </w:pPr>
      <w:r w:rsidRPr="01721A2C">
        <w:rPr>
          <w:rFonts w:eastAsia="Times New Roman" w:cs="Times New Roman"/>
        </w:rPr>
        <w:t>###</w:t>
      </w:r>
    </w:p>
    <w:p w14:paraId="1E3C70BC" w14:textId="04CE136F" w:rsidR="00517DF5" w:rsidRPr="00657344" w:rsidRDefault="01721A2C" w:rsidP="00517DF5">
      <w:pPr>
        <w:rPr>
          <w:rFonts w:eastAsia="Times New Roman" w:cs="Times New Roman"/>
        </w:rPr>
      </w:pPr>
      <w:r w:rsidRPr="01721A2C">
        <w:rPr>
          <w:i/>
          <w:iCs/>
        </w:rPr>
        <w:t xml:space="preserve">The </w:t>
      </w:r>
      <w:r w:rsidRPr="01721A2C">
        <w:rPr>
          <w:b/>
          <w:bCs/>
          <w:i/>
          <w:iCs/>
        </w:rPr>
        <w:t>Council for the Accreditation of Educator Preparation</w:t>
      </w:r>
      <w:r w:rsidRPr="01721A2C">
        <w:rPr>
          <w:rFonts w:eastAsia="Times New Roman" w:cs="Times New Roman"/>
          <w:i/>
          <w:iCs/>
        </w:rPr>
        <w:t xml:space="preserve"> (</w:t>
      </w:r>
      <w:hyperlink r:id="rId20">
        <w:r w:rsidRPr="01721A2C">
          <w:rPr>
            <w:rStyle w:val="Hyperlink"/>
            <w:i/>
            <w:iCs/>
          </w:rPr>
          <w:t>www.CAEPnet.org</w:t>
        </w:r>
      </w:hyperlink>
      <w:r w:rsidRPr="01721A2C">
        <w:rPr>
          <w:i/>
          <w:iCs/>
        </w:rPr>
        <w:t xml:space="preserve">) advances </w:t>
      </w:r>
      <w:r w:rsidR="00FC546C">
        <w:rPr>
          <w:i/>
          <w:iCs/>
        </w:rPr>
        <w:t xml:space="preserve">equity and </w:t>
      </w:r>
      <w:r w:rsidRPr="01721A2C">
        <w:rPr>
          <w:i/>
          <w:iCs/>
        </w:rPr>
        <w:t>excellence in educator preparation through evidence-based accreditation that assures quality and supports continuous improvement to strengthen P-12 student learning.</w:t>
      </w:r>
    </w:p>
    <w:sectPr w:rsidR="00517DF5" w:rsidRPr="00657344" w:rsidSect="004A5490">
      <w:headerReference w:type="even" r:id="rId21"/>
      <w:footerReference w:type="even" r:id="rId22"/>
      <w:footerReference w:type="default" r:id="rId23"/>
      <w:type w:val="continuous"/>
      <w:pgSz w:w="12240" w:h="15840"/>
      <w:pgMar w:top="1440" w:right="1440" w:bottom="144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635312" w14:textId="77777777" w:rsidR="004A5490" w:rsidRDefault="004A5490" w:rsidP="003975D7">
      <w:r>
        <w:separator/>
      </w:r>
    </w:p>
  </w:endnote>
  <w:endnote w:type="continuationSeparator" w:id="0">
    <w:p w14:paraId="79511E7D" w14:textId="77777777" w:rsidR="004A5490" w:rsidRDefault="004A5490" w:rsidP="003975D7">
      <w:r>
        <w:continuationSeparator/>
      </w:r>
    </w:p>
  </w:endnote>
  <w:endnote w:type="continuationNotice" w:id="1">
    <w:p w14:paraId="2FB447AF" w14:textId="77777777" w:rsidR="004A5490" w:rsidRDefault="004A54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74903D6F" w14:textId="77777777" w:rsidTr="3E23327D">
      <w:tc>
        <w:tcPr>
          <w:tcW w:w="3120" w:type="dxa"/>
        </w:tcPr>
        <w:p w14:paraId="361980AB" w14:textId="77CF1230" w:rsidR="3E23327D" w:rsidRDefault="3E23327D" w:rsidP="3E23327D">
          <w:pPr>
            <w:pStyle w:val="Header"/>
            <w:ind w:left="-115"/>
          </w:pPr>
        </w:p>
      </w:tc>
      <w:tc>
        <w:tcPr>
          <w:tcW w:w="3120" w:type="dxa"/>
        </w:tcPr>
        <w:p w14:paraId="799E85C0" w14:textId="6FF9CF2F" w:rsidR="3E23327D" w:rsidRDefault="3E23327D" w:rsidP="3E23327D">
          <w:pPr>
            <w:pStyle w:val="Header"/>
            <w:jc w:val="center"/>
          </w:pPr>
        </w:p>
      </w:tc>
      <w:tc>
        <w:tcPr>
          <w:tcW w:w="3120" w:type="dxa"/>
        </w:tcPr>
        <w:p w14:paraId="47289CB3" w14:textId="67B99642" w:rsidR="3E23327D" w:rsidRDefault="3E23327D" w:rsidP="3E23327D">
          <w:pPr>
            <w:pStyle w:val="Header"/>
            <w:ind w:right="-115"/>
            <w:jc w:val="right"/>
          </w:pPr>
        </w:p>
      </w:tc>
    </w:tr>
  </w:tbl>
  <w:p w14:paraId="0CF90768" w14:textId="76BA2384" w:rsidR="3E23327D" w:rsidRDefault="3E23327D" w:rsidP="3E2332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0065C69E" w14:textId="77777777" w:rsidTr="3E23327D">
      <w:tc>
        <w:tcPr>
          <w:tcW w:w="3120" w:type="dxa"/>
        </w:tcPr>
        <w:p w14:paraId="28E16EA1" w14:textId="1A84BB35" w:rsidR="3E23327D" w:rsidRDefault="3E23327D" w:rsidP="3E23327D">
          <w:pPr>
            <w:pStyle w:val="Header"/>
            <w:ind w:left="-115"/>
          </w:pPr>
        </w:p>
      </w:tc>
      <w:tc>
        <w:tcPr>
          <w:tcW w:w="3120" w:type="dxa"/>
        </w:tcPr>
        <w:p w14:paraId="4EAA8C95" w14:textId="731C2AF5" w:rsidR="3E23327D" w:rsidRDefault="3E23327D" w:rsidP="3E23327D">
          <w:pPr>
            <w:pStyle w:val="Header"/>
            <w:jc w:val="center"/>
          </w:pPr>
        </w:p>
      </w:tc>
      <w:tc>
        <w:tcPr>
          <w:tcW w:w="3120" w:type="dxa"/>
        </w:tcPr>
        <w:p w14:paraId="3E8E1300" w14:textId="6ACF1FCB" w:rsidR="3E23327D" w:rsidRDefault="3E23327D" w:rsidP="3E23327D">
          <w:pPr>
            <w:pStyle w:val="Header"/>
            <w:ind w:right="-115"/>
            <w:jc w:val="right"/>
          </w:pPr>
        </w:p>
      </w:tc>
    </w:tr>
  </w:tbl>
  <w:p w14:paraId="34575DDB" w14:textId="5E994D60" w:rsidR="3E23327D" w:rsidRDefault="3E23327D" w:rsidP="3E23327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55C400" w14:textId="77777777" w:rsidR="00F678AB" w:rsidRDefault="00F678A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4B228A42" w14:textId="77777777" w:rsidTr="3E23327D">
      <w:tc>
        <w:tcPr>
          <w:tcW w:w="3120" w:type="dxa"/>
        </w:tcPr>
        <w:p w14:paraId="00BCEE77" w14:textId="1A2009F3" w:rsidR="3E23327D" w:rsidRDefault="3E23327D" w:rsidP="3E23327D">
          <w:pPr>
            <w:pStyle w:val="Header"/>
            <w:ind w:left="-115"/>
          </w:pPr>
        </w:p>
      </w:tc>
      <w:tc>
        <w:tcPr>
          <w:tcW w:w="3120" w:type="dxa"/>
        </w:tcPr>
        <w:p w14:paraId="41DF3600" w14:textId="3E8F9C0C" w:rsidR="3E23327D" w:rsidRDefault="3E23327D" w:rsidP="3E23327D">
          <w:pPr>
            <w:pStyle w:val="Header"/>
            <w:jc w:val="center"/>
          </w:pPr>
        </w:p>
      </w:tc>
      <w:tc>
        <w:tcPr>
          <w:tcW w:w="3120" w:type="dxa"/>
        </w:tcPr>
        <w:p w14:paraId="36A767B2" w14:textId="1973A5C7" w:rsidR="3E23327D" w:rsidRDefault="3E23327D" w:rsidP="3E23327D">
          <w:pPr>
            <w:pStyle w:val="Header"/>
            <w:ind w:right="-115"/>
            <w:jc w:val="right"/>
          </w:pPr>
        </w:p>
      </w:tc>
    </w:tr>
  </w:tbl>
  <w:p w14:paraId="01C26F44" w14:textId="7B5A70D3" w:rsidR="3E23327D" w:rsidRDefault="3E23327D" w:rsidP="3E23327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3AB25FCE" w14:textId="77777777" w:rsidTr="3E23327D">
      <w:tc>
        <w:tcPr>
          <w:tcW w:w="3120" w:type="dxa"/>
        </w:tcPr>
        <w:p w14:paraId="06D1C197" w14:textId="667CC2B1" w:rsidR="3E23327D" w:rsidRDefault="3E23327D" w:rsidP="3E23327D">
          <w:pPr>
            <w:pStyle w:val="Header"/>
            <w:ind w:left="-115"/>
          </w:pPr>
        </w:p>
      </w:tc>
      <w:tc>
        <w:tcPr>
          <w:tcW w:w="3120" w:type="dxa"/>
        </w:tcPr>
        <w:p w14:paraId="6F58139F" w14:textId="14DF93CC" w:rsidR="3E23327D" w:rsidRDefault="3E23327D" w:rsidP="3E23327D">
          <w:pPr>
            <w:pStyle w:val="Header"/>
            <w:jc w:val="center"/>
          </w:pPr>
        </w:p>
      </w:tc>
      <w:tc>
        <w:tcPr>
          <w:tcW w:w="3120" w:type="dxa"/>
        </w:tcPr>
        <w:p w14:paraId="7BFCBD08" w14:textId="6C3607E2" w:rsidR="3E23327D" w:rsidRDefault="3E23327D" w:rsidP="3E23327D">
          <w:pPr>
            <w:pStyle w:val="Header"/>
            <w:ind w:right="-115"/>
            <w:jc w:val="right"/>
          </w:pPr>
        </w:p>
      </w:tc>
    </w:tr>
  </w:tbl>
  <w:p w14:paraId="29DE4D0A" w14:textId="6B71A377" w:rsidR="3E23327D" w:rsidRDefault="3E23327D" w:rsidP="3E23327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6FE12114" w14:textId="77777777" w:rsidTr="3E23327D">
      <w:tc>
        <w:tcPr>
          <w:tcW w:w="3120" w:type="dxa"/>
        </w:tcPr>
        <w:p w14:paraId="493D2077" w14:textId="720E2737" w:rsidR="3E23327D" w:rsidRDefault="3E23327D" w:rsidP="3E23327D">
          <w:pPr>
            <w:pStyle w:val="Header"/>
            <w:ind w:left="-115"/>
          </w:pPr>
        </w:p>
      </w:tc>
      <w:tc>
        <w:tcPr>
          <w:tcW w:w="3120" w:type="dxa"/>
        </w:tcPr>
        <w:p w14:paraId="13FC7EE3" w14:textId="536A2F4F" w:rsidR="3E23327D" w:rsidRDefault="3E23327D" w:rsidP="3E23327D">
          <w:pPr>
            <w:pStyle w:val="Header"/>
            <w:jc w:val="center"/>
          </w:pPr>
        </w:p>
      </w:tc>
      <w:tc>
        <w:tcPr>
          <w:tcW w:w="3120" w:type="dxa"/>
        </w:tcPr>
        <w:p w14:paraId="171CE887" w14:textId="7007CD5A" w:rsidR="3E23327D" w:rsidRDefault="3E23327D" w:rsidP="3E23327D">
          <w:pPr>
            <w:pStyle w:val="Header"/>
            <w:ind w:right="-115"/>
            <w:jc w:val="right"/>
          </w:pPr>
        </w:p>
      </w:tc>
    </w:tr>
  </w:tbl>
  <w:p w14:paraId="348D6A91" w14:textId="089A3C45" w:rsidR="3E23327D" w:rsidRDefault="3E23327D" w:rsidP="3E23327D">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3AD10F9F" w14:textId="77777777" w:rsidTr="3E23327D">
      <w:tc>
        <w:tcPr>
          <w:tcW w:w="3120" w:type="dxa"/>
        </w:tcPr>
        <w:p w14:paraId="07324DCC" w14:textId="7F56CB74" w:rsidR="3E23327D" w:rsidRDefault="3E23327D" w:rsidP="3E23327D">
          <w:pPr>
            <w:pStyle w:val="Header"/>
            <w:ind w:left="-115"/>
          </w:pPr>
        </w:p>
      </w:tc>
      <w:tc>
        <w:tcPr>
          <w:tcW w:w="3120" w:type="dxa"/>
        </w:tcPr>
        <w:p w14:paraId="5A304993" w14:textId="773AB904" w:rsidR="3E23327D" w:rsidRDefault="3E23327D" w:rsidP="3E23327D">
          <w:pPr>
            <w:pStyle w:val="Header"/>
            <w:jc w:val="center"/>
          </w:pPr>
        </w:p>
      </w:tc>
      <w:tc>
        <w:tcPr>
          <w:tcW w:w="3120" w:type="dxa"/>
        </w:tcPr>
        <w:p w14:paraId="4AA85D09" w14:textId="393F1D6A" w:rsidR="3E23327D" w:rsidRDefault="3E23327D" w:rsidP="3E23327D">
          <w:pPr>
            <w:pStyle w:val="Header"/>
            <w:ind w:right="-115"/>
            <w:jc w:val="right"/>
          </w:pPr>
        </w:p>
      </w:tc>
    </w:tr>
  </w:tbl>
  <w:p w14:paraId="5D795319" w14:textId="6448CABD" w:rsidR="3E23327D" w:rsidRDefault="3E23327D" w:rsidP="3E2332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00EABA" w14:textId="77777777" w:rsidR="004A5490" w:rsidRDefault="004A5490" w:rsidP="003975D7">
      <w:r>
        <w:separator/>
      </w:r>
    </w:p>
  </w:footnote>
  <w:footnote w:type="continuationSeparator" w:id="0">
    <w:p w14:paraId="2B4CA97A" w14:textId="77777777" w:rsidR="004A5490" w:rsidRDefault="004A5490" w:rsidP="003975D7">
      <w:r>
        <w:continuationSeparator/>
      </w:r>
    </w:p>
  </w:footnote>
  <w:footnote w:type="continuationNotice" w:id="1">
    <w:p w14:paraId="3F9B4D26" w14:textId="77777777" w:rsidR="004A5490" w:rsidRDefault="004A549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02760E14" w14:textId="77777777" w:rsidTr="3E23327D">
      <w:tc>
        <w:tcPr>
          <w:tcW w:w="3120" w:type="dxa"/>
        </w:tcPr>
        <w:p w14:paraId="5D61A4F0" w14:textId="5841FC91" w:rsidR="3E23327D" w:rsidRDefault="3E23327D" w:rsidP="3E23327D">
          <w:pPr>
            <w:pStyle w:val="Header"/>
            <w:ind w:left="-115"/>
          </w:pPr>
        </w:p>
      </w:tc>
      <w:tc>
        <w:tcPr>
          <w:tcW w:w="3120" w:type="dxa"/>
        </w:tcPr>
        <w:p w14:paraId="74625C8E" w14:textId="096E3C58" w:rsidR="3E23327D" w:rsidRDefault="3E23327D" w:rsidP="3E23327D">
          <w:pPr>
            <w:pStyle w:val="Header"/>
            <w:jc w:val="center"/>
          </w:pPr>
        </w:p>
      </w:tc>
      <w:tc>
        <w:tcPr>
          <w:tcW w:w="3120" w:type="dxa"/>
        </w:tcPr>
        <w:p w14:paraId="2AAA864F" w14:textId="04726734" w:rsidR="3E23327D" w:rsidRDefault="3E23327D" w:rsidP="3E23327D">
          <w:pPr>
            <w:pStyle w:val="Header"/>
            <w:ind w:right="-115"/>
            <w:jc w:val="right"/>
          </w:pPr>
        </w:p>
      </w:tc>
    </w:tr>
  </w:tbl>
  <w:p w14:paraId="15BEC1CF" w14:textId="3D861A1B" w:rsidR="3E23327D" w:rsidRDefault="3E23327D" w:rsidP="3E2332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AC1AF" w14:textId="77777777" w:rsidR="00C459F2" w:rsidRDefault="00C459F2" w:rsidP="003975D7">
    <w:pPr>
      <w:pStyle w:val="Header"/>
      <w:ind w:left="-540"/>
    </w:pPr>
    <w:r>
      <w:rPr>
        <w:noProof/>
      </w:rPr>
      <mc:AlternateContent>
        <mc:Choice Requires="wps">
          <w:drawing>
            <wp:anchor distT="0" distB="0" distL="114300" distR="114300" simplePos="0" relativeHeight="251658244" behindDoc="0" locked="0" layoutInCell="1" allowOverlap="1" wp14:anchorId="58696BC0" wp14:editId="5F579A29">
              <wp:simplePos x="0" y="0"/>
              <wp:positionH relativeFrom="column">
                <wp:posOffset>4681220</wp:posOffset>
              </wp:positionH>
              <wp:positionV relativeFrom="paragraph">
                <wp:posOffset>-142875</wp:posOffset>
              </wp:positionV>
              <wp:extent cx="1538605" cy="933450"/>
              <wp:effectExtent l="4445" t="0" r="0" b="0"/>
              <wp:wrapNone/>
              <wp:docPr id="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8605" cy="933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0CA7F" w14:textId="77777777" w:rsidR="00C459F2" w:rsidRPr="00804F29" w:rsidRDefault="00C459F2" w:rsidP="003975D7">
                          <w:pPr>
                            <w:jc w:val="right"/>
                            <w:rPr>
                              <w:rFonts w:ascii="Arial" w:hAnsi="Arial" w:cs="Arial"/>
                              <w:b/>
                              <w:i/>
                              <w:sz w:val="12"/>
                              <w:szCs w:val="12"/>
                            </w:rPr>
                          </w:pPr>
                        </w:p>
                        <w:p w14:paraId="70B5549B" w14:textId="77777777" w:rsidR="00C459F2" w:rsidRPr="00804F29" w:rsidRDefault="00C459F2" w:rsidP="003975D7">
                          <w:pPr>
                            <w:spacing w:line="400" w:lineRule="exact"/>
                            <w:jc w:val="right"/>
                            <w:rPr>
                              <w:rFonts w:ascii="Arial" w:hAnsi="Arial" w:cs="Arial"/>
                              <w:b/>
                              <w:i/>
                              <w:sz w:val="48"/>
                              <w:szCs w:val="48"/>
                            </w:rPr>
                          </w:pPr>
                          <w:r>
                            <w:rPr>
                              <w:rFonts w:ascii="Arial" w:hAnsi="Arial" w:cs="Arial"/>
                              <w:b/>
                              <w:i/>
                              <w:sz w:val="48"/>
                              <w:szCs w:val="48"/>
                            </w:rPr>
                            <w:t>News</w:t>
                          </w:r>
                          <w:r w:rsidRPr="00804F29">
                            <w:rPr>
                              <w:rFonts w:ascii="Arial" w:hAnsi="Arial" w:cs="Arial"/>
                              <w:b/>
                              <w:i/>
                              <w:sz w:val="48"/>
                              <w:szCs w:val="48"/>
                            </w:rPr>
                            <w:t xml:space="preserve"> </w:t>
                          </w:r>
                          <w:r>
                            <w:rPr>
                              <w:rFonts w:ascii="Arial" w:hAnsi="Arial" w:cs="Arial"/>
                              <w:b/>
                              <w:i/>
                              <w:sz w:val="48"/>
                              <w:szCs w:val="48"/>
                            </w:rPr>
                            <w:t>Release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8696BC0" id="_x0000_t202" coordsize="21600,21600" o:spt="202" path="m,l,21600r21600,l21600,xe">
              <v:stroke joinstyle="miter"/>
              <v:path gradientshapeok="t" o:connecttype="rect"/>
            </v:shapetype>
            <v:shape id="Text Box 1" o:spid="_x0000_s1026" type="#_x0000_t202" style="position:absolute;left:0;text-align:left;margin-left:368.6pt;margin-top:-11.25pt;width:121.15pt;height:73.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" filled="f" stroked="f">
              <v:textbox>
                <w:txbxContent>
                  <w:p w14:paraId="7F90CA7F" w14:textId="77777777" w:rsidR="00C459F2" w:rsidRPr="00804F29" w:rsidRDefault="00C459F2" w:rsidP="003975D7">
                    <w:pPr>
                      <w:jc w:val="right"/>
                      <w:rPr>
                        <w:rFonts w:ascii="Arial" w:hAnsi="Arial" w:cs="Arial"/>
                        <w:b/>
                        <w:i/>
                        <w:sz w:val="12"/>
                        <w:szCs w:val="12"/>
                      </w:rPr>
                    </w:pPr>
                  </w:p>
                  <w:p w14:paraId="70B5549B" w14:textId="77777777" w:rsidR="00C459F2" w:rsidRPr="00804F29" w:rsidRDefault="00C459F2" w:rsidP="003975D7">
                    <w:pPr>
                      <w:spacing w:line="400" w:lineRule="exact"/>
                      <w:jc w:val="right"/>
                      <w:rPr>
                        <w:rFonts w:ascii="Arial" w:hAnsi="Arial" w:cs="Arial"/>
                        <w:b/>
                        <w:i/>
                        <w:sz w:val="48"/>
                        <w:szCs w:val="48"/>
                      </w:rPr>
                    </w:pPr>
                    <w:r>
                      <w:rPr>
                        <w:rFonts w:ascii="Arial" w:hAnsi="Arial" w:cs="Arial"/>
                        <w:b/>
                        <w:i/>
                        <w:sz w:val="48"/>
                        <w:szCs w:val="48"/>
                      </w:rPr>
                      <w:t>News</w:t>
                    </w:r>
                    <w:r w:rsidRPr="00804F29">
                      <w:rPr>
                        <w:rFonts w:ascii="Arial" w:hAnsi="Arial" w:cs="Arial"/>
                        <w:b/>
                        <w:i/>
                        <w:sz w:val="48"/>
                        <w:szCs w:val="48"/>
                      </w:rPr>
                      <w:t xml:space="preserve"> </w:t>
                    </w:r>
                    <w:r>
                      <w:rPr>
                        <w:rFonts w:ascii="Arial" w:hAnsi="Arial" w:cs="Arial"/>
                        <w:b/>
                        <w:i/>
                        <w:sz w:val="48"/>
                        <w:szCs w:val="48"/>
                      </w:rPr>
                      <w:t>Release</w:t>
                    </w:r>
                  </w:p>
                </w:txbxContent>
              </v:textbox>
            </v:shape>
          </w:pict>
        </mc:Fallback>
      </mc:AlternateContent>
    </w:r>
    <w:r>
      <w:rPr>
        <w:noProof/>
      </w:rPr>
      <mc:AlternateContent>
        <mc:Choice Requires="wps">
          <w:drawing>
            <wp:anchor distT="0" distB="0" distL="114300" distR="114300" simplePos="0" relativeHeight="251658247" behindDoc="0" locked="0" layoutInCell="1" allowOverlap="1" wp14:anchorId="3EC208F0" wp14:editId="34DDA433">
              <wp:simplePos x="0" y="0"/>
              <wp:positionH relativeFrom="column">
                <wp:posOffset>2905125</wp:posOffset>
              </wp:positionH>
              <wp:positionV relativeFrom="paragraph">
                <wp:posOffset>485775</wp:posOffset>
              </wp:positionV>
              <wp:extent cx="3267075" cy="0"/>
              <wp:effectExtent l="9525" t="9525" r="9525" b="9525"/>
              <wp:wrapNone/>
              <wp:docPr id="8"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6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w:pict>
            <v:shapetype id="_x0000_t32" coordsize="21600,21600" o:oned="t" filled="f" o:spt="32" path="m,l21600,21600e" w14:anchorId="2A2E9C57">
              <v:path fillok="f" arrowok="t" o:connecttype="none"/>
              <o:lock v:ext="edit" shapetype="t"/>
            </v:shapetype>
            <v:shape id="AutoShape 2" style="position:absolute;margin-left:228.75pt;margin-top:38.25pt;width:257.25pt;height: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"/>
          </w:pict>
        </mc:Fallback>
      </mc:AlternateContent>
    </w:r>
    <w:r w:rsidRPr="003975D7">
      <w:rPr>
        <w:noProof/>
      </w:rPr>
      <w:drawing>
        <wp:inline distT="0" distB="0" distL="0" distR="0" wp14:anchorId="35F0F72B" wp14:editId="784700C3">
          <wp:extent cx="3181350" cy="523875"/>
          <wp:effectExtent l="19050" t="0" r="0" b="0"/>
          <wp:docPr id="1" name="Picture 0" descr="CAEP_LogoFnl2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EP_LogoFnl2C.jpg"/>
                  <pic:cNvPicPr/>
                </pic:nvPicPr>
                <pic:blipFill>
                  <a:blip r:embed="rId1" cstate="print"/>
                  <a:stretch>
                    <a:fillRect/>
                  </a:stretch>
                </pic:blipFill>
                <pic:spPr>
                  <a:xfrm>
                    <a:off x="0" y="0"/>
                    <a:ext cx="3181350" cy="523875"/>
                  </a:xfrm>
                  <a:prstGeom prst="rect">
                    <a:avLst/>
                  </a:prstGeom>
                </pic:spPr>
              </pic:pic>
            </a:graphicData>
          </a:graphic>
        </wp:inline>
      </w:drawing>
    </w:r>
  </w:p>
  <w:p w14:paraId="3C93F6DA" w14:textId="0DB3A115" w:rsidR="44DDDA0F" w:rsidRDefault="44DDDA0F"/>
  <w:tbl>
    <w:tblPr>
      <w:tblStyle w:val="ListTable1Light-Accent1"/>
      <w:tblW w:w="0" w:type="auto"/>
      <w:tblLayout w:type="fixed"/>
      <w:tblLook w:val="0680" w:firstRow="0" w:lastRow="0" w:firstColumn="1" w:lastColumn="0" w:noHBand="1" w:noVBand="1"/>
    </w:tblPr>
    <w:tblGrid>
      <w:gridCol w:w="3120"/>
      <w:gridCol w:w="900"/>
      <w:gridCol w:w="5340"/>
    </w:tblGrid>
    <w:tr w:rsidR="3E23327D" w14:paraId="66205762" w14:textId="77777777" w:rsidTr="5FBC5EAE">
      <w:tc>
        <w:tcPr>
          <w:cnfStyle w:val="001000000000" w:firstRow="0" w:lastRow="0" w:firstColumn="1" w:lastColumn="0" w:oddVBand="0" w:evenVBand="0" w:oddHBand="0" w:evenHBand="0" w:firstRowFirstColumn="0" w:firstRowLastColumn="0" w:lastRowFirstColumn="0" w:lastRowLastColumn="0"/>
          <w:tcW w:w="3120" w:type="dxa"/>
        </w:tcPr>
        <w:p w14:paraId="33E0ECB0" w14:textId="4AF62351" w:rsidR="3E23327D" w:rsidRDefault="37E96F9A" w:rsidP="37E96F9A">
          <w:pPr>
            <w:ind w:left="-115"/>
            <w:rPr>
              <w:rFonts w:ascii="Arial" w:eastAsia="Arial" w:hAnsi="Arial" w:cs="Arial"/>
              <w:b w:val="0"/>
              <w:bCs w:val="0"/>
              <w:color w:val="000000" w:themeColor="text1"/>
              <w:sz w:val="21"/>
              <w:szCs w:val="21"/>
            </w:rPr>
          </w:pPr>
          <w:r w:rsidRPr="37E96F9A">
            <w:rPr>
              <w:rFonts w:ascii="Arial" w:eastAsia="Arial" w:hAnsi="Arial" w:cs="Arial"/>
              <w:color w:val="000000" w:themeColor="text1"/>
              <w:sz w:val="21"/>
              <w:szCs w:val="21"/>
            </w:rPr>
            <w:t>FOR IMMEDIATE RELEASE</w:t>
          </w:r>
        </w:p>
        <w:p w14:paraId="356E5E1A" w14:textId="61F05B28" w:rsidR="3E23327D" w:rsidRDefault="0001131D" w:rsidP="5FBC5EAE">
          <w:pPr>
            <w:ind w:left="-115"/>
            <w:rPr>
              <w:rFonts w:ascii="Arial" w:eastAsia="Arial" w:hAnsi="Arial" w:cs="Arial"/>
              <w:b w:val="0"/>
              <w:bCs w:val="0"/>
              <w:color w:val="000000" w:themeColor="text1"/>
              <w:sz w:val="21"/>
              <w:szCs w:val="21"/>
            </w:rPr>
          </w:pPr>
          <w:r>
            <w:rPr>
              <w:rFonts w:ascii="Arial" w:eastAsia="Arial" w:hAnsi="Arial" w:cs="Arial"/>
              <w:b w:val="0"/>
              <w:bCs w:val="0"/>
              <w:color w:val="000000" w:themeColor="text1"/>
              <w:sz w:val="21"/>
              <w:szCs w:val="21"/>
            </w:rPr>
            <w:t>Septem</w:t>
          </w:r>
          <w:r w:rsidR="00014FD4">
            <w:rPr>
              <w:rFonts w:ascii="Arial" w:eastAsia="Arial" w:hAnsi="Arial" w:cs="Arial"/>
              <w:b w:val="0"/>
              <w:bCs w:val="0"/>
              <w:color w:val="000000" w:themeColor="text1"/>
              <w:sz w:val="21"/>
              <w:szCs w:val="21"/>
            </w:rPr>
            <w:t xml:space="preserve">ber </w:t>
          </w:r>
          <w:r>
            <w:rPr>
              <w:rFonts w:ascii="Arial" w:eastAsia="Arial" w:hAnsi="Arial" w:cs="Arial"/>
              <w:b w:val="0"/>
              <w:bCs w:val="0"/>
              <w:color w:val="000000" w:themeColor="text1"/>
              <w:sz w:val="21"/>
              <w:szCs w:val="21"/>
            </w:rPr>
            <w:t>14</w:t>
          </w:r>
          <w:r w:rsidR="00014FD4">
            <w:rPr>
              <w:rFonts w:ascii="Arial" w:eastAsia="Arial" w:hAnsi="Arial" w:cs="Arial"/>
              <w:b w:val="0"/>
              <w:bCs w:val="0"/>
              <w:color w:val="000000" w:themeColor="text1"/>
              <w:sz w:val="21"/>
              <w:szCs w:val="21"/>
            </w:rPr>
            <w:t>, 20</w:t>
          </w:r>
          <w:r w:rsidR="00916192">
            <w:rPr>
              <w:rFonts w:ascii="Arial" w:eastAsia="Arial" w:hAnsi="Arial" w:cs="Arial"/>
              <w:b w:val="0"/>
              <w:bCs w:val="0"/>
              <w:color w:val="000000" w:themeColor="text1"/>
              <w:sz w:val="21"/>
              <w:szCs w:val="21"/>
            </w:rPr>
            <w:t>2</w:t>
          </w:r>
          <w:r w:rsidR="00F678AB">
            <w:rPr>
              <w:rFonts w:ascii="Arial" w:eastAsia="Arial" w:hAnsi="Arial" w:cs="Arial"/>
              <w:b w:val="0"/>
              <w:bCs w:val="0"/>
              <w:color w:val="000000" w:themeColor="text1"/>
              <w:sz w:val="21"/>
              <w:szCs w:val="21"/>
            </w:rPr>
            <w:t>2</w:t>
          </w:r>
        </w:p>
      </w:tc>
      <w:tc>
        <w:tcPr>
          <w:tcW w:w="900" w:type="dxa"/>
        </w:tcPr>
        <w:p w14:paraId="5A97CAA1" w14:textId="2892D738" w:rsidR="3E23327D" w:rsidRDefault="3E23327D" w:rsidP="3E23327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p>
      </w:tc>
      <w:tc>
        <w:tcPr>
          <w:tcW w:w="5340" w:type="dxa"/>
        </w:tcPr>
        <w:p w14:paraId="0617A41C" w14:textId="6525B1F4" w:rsidR="3E23327D" w:rsidRDefault="37E96F9A" w:rsidP="37E96F9A">
          <w:pPr>
            <w:ind w:right="-115"/>
            <w:jc w:val="right"/>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sz w:val="21"/>
              <w:szCs w:val="21"/>
            </w:rPr>
          </w:pPr>
          <w:r w:rsidRPr="37E96F9A">
            <w:rPr>
              <w:rFonts w:ascii="Arial" w:eastAsia="Arial" w:hAnsi="Arial" w:cs="Arial"/>
              <w:b/>
              <w:bCs/>
              <w:color w:val="000000" w:themeColor="text1"/>
              <w:sz w:val="21"/>
              <w:szCs w:val="21"/>
            </w:rPr>
            <w:t>CONTACT</w:t>
          </w:r>
        </w:p>
        <w:p w14:paraId="559660AA" w14:textId="25B712AC" w:rsidR="3E23327D" w:rsidRDefault="37E96F9A" w:rsidP="37E96F9A">
          <w:pPr>
            <w:ind w:right="-115"/>
            <w:jc w:val="right"/>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sz w:val="21"/>
              <w:szCs w:val="21"/>
            </w:rPr>
          </w:pPr>
          <w:r w:rsidRPr="37E96F9A">
            <w:rPr>
              <w:rFonts w:ascii="Arial" w:eastAsia="Arial" w:hAnsi="Arial" w:cs="Arial"/>
              <w:color w:val="000000" w:themeColor="text1"/>
              <w:sz w:val="21"/>
              <w:szCs w:val="21"/>
            </w:rPr>
            <w:t>Matt Vanover</w:t>
          </w:r>
        </w:p>
        <w:p w14:paraId="71B6BAB1" w14:textId="0B48EAC6" w:rsidR="3E23327D" w:rsidRDefault="37E96F9A" w:rsidP="37E96F9A">
          <w:pPr>
            <w:ind w:right="-115"/>
            <w:jc w:val="right"/>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themeColor="text1"/>
              <w:sz w:val="21"/>
              <w:szCs w:val="21"/>
            </w:rPr>
          </w:pPr>
          <w:r w:rsidRPr="37E96F9A">
            <w:rPr>
              <w:rFonts w:ascii="Arial" w:eastAsia="Arial" w:hAnsi="Arial" w:cs="Arial"/>
              <w:color w:val="000000" w:themeColor="text1"/>
              <w:sz w:val="21"/>
              <w:szCs w:val="21"/>
            </w:rPr>
            <w:t>(2</w:t>
          </w:r>
          <w:r w:rsidR="0071703F">
            <w:rPr>
              <w:rFonts w:ascii="Arial" w:eastAsia="Arial" w:hAnsi="Arial" w:cs="Arial"/>
              <w:color w:val="000000" w:themeColor="text1"/>
              <w:sz w:val="21"/>
              <w:szCs w:val="21"/>
            </w:rPr>
            <w:t>17</w:t>
          </w:r>
          <w:r w:rsidRPr="37E96F9A">
            <w:rPr>
              <w:rFonts w:ascii="Arial" w:eastAsia="Arial" w:hAnsi="Arial" w:cs="Arial"/>
              <w:color w:val="000000" w:themeColor="text1"/>
              <w:sz w:val="21"/>
              <w:szCs w:val="21"/>
            </w:rPr>
            <w:t xml:space="preserve">) </w:t>
          </w:r>
          <w:r w:rsidR="0071703F">
            <w:rPr>
              <w:rFonts w:ascii="Arial" w:eastAsia="Arial" w:hAnsi="Arial" w:cs="Arial"/>
              <w:color w:val="000000" w:themeColor="text1"/>
              <w:sz w:val="21"/>
              <w:szCs w:val="21"/>
            </w:rPr>
            <w:t>341</w:t>
          </w:r>
          <w:r w:rsidRPr="37E96F9A">
            <w:rPr>
              <w:rFonts w:ascii="Arial" w:eastAsia="Arial" w:hAnsi="Arial" w:cs="Arial"/>
              <w:color w:val="000000" w:themeColor="text1"/>
              <w:sz w:val="21"/>
              <w:szCs w:val="21"/>
            </w:rPr>
            <w:t>-</w:t>
          </w:r>
          <w:r w:rsidR="0071703F">
            <w:rPr>
              <w:rFonts w:ascii="Arial" w:eastAsia="Arial" w:hAnsi="Arial" w:cs="Arial"/>
              <w:color w:val="000000" w:themeColor="text1"/>
              <w:sz w:val="21"/>
              <w:szCs w:val="21"/>
            </w:rPr>
            <w:t>3849</w:t>
          </w:r>
          <w:r w:rsidRPr="37E96F9A">
            <w:rPr>
              <w:rFonts w:ascii="Arial" w:eastAsia="Arial" w:hAnsi="Arial" w:cs="Arial"/>
              <w:color w:val="000000" w:themeColor="text1"/>
              <w:sz w:val="21"/>
              <w:szCs w:val="21"/>
            </w:rPr>
            <w:t xml:space="preserve"> | </w:t>
          </w:r>
          <w:hyperlink r:id="rId2">
            <w:r w:rsidRPr="37E96F9A">
              <w:rPr>
                <w:rStyle w:val="Hyperlink"/>
                <w:rFonts w:ascii="Arial" w:eastAsia="Arial" w:hAnsi="Arial" w:cs="Arial"/>
                <w:color w:val="000000" w:themeColor="text1"/>
                <w:sz w:val="21"/>
                <w:szCs w:val="21"/>
              </w:rPr>
              <w:t>Matt.Vanover@caepnet.org</w:t>
            </w:r>
          </w:hyperlink>
        </w:p>
      </w:tc>
    </w:tr>
  </w:tbl>
  <w:p w14:paraId="5E1032EE" w14:textId="08997254" w:rsidR="3E23327D" w:rsidRDefault="3E23327D" w:rsidP="3E23327D">
    <w:pPr>
      <w:pStyle w:val="Header"/>
      <w:rPr>
        <w:rFonts w:eastAsia="Times New Roman" w:cs="Times New Roman"/>
        <w:color w:val="000000" w:themeColor="text1"/>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5DBC8" w14:textId="77777777" w:rsidR="00F678AB" w:rsidRDefault="00F678A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6F9E9971" w14:textId="77777777" w:rsidTr="3E23327D">
      <w:tc>
        <w:tcPr>
          <w:tcW w:w="3120" w:type="dxa"/>
        </w:tcPr>
        <w:p w14:paraId="29D0B9B2" w14:textId="6F52AFBB" w:rsidR="3E23327D" w:rsidRDefault="3E23327D" w:rsidP="3E23327D">
          <w:pPr>
            <w:pStyle w:val="Header"/>
            <w:ind w:left="-115"/>
          </w:pPr>
        </w:p>
      </w:tc>
      <w:tc>
        <w:tcPr>
          <w:tcW w:w="3120" w:type="dxa"/>
        </w:tcPr>
        <w:p w14:paraId="27B83279" w14:textId="7B1868AF" w:rsidR="3E23327D" w:rsidRDefault="3E23327D" w:rsidP="3E23327D">
          <w:pPr>
            <w:pStyle w:val="Header"/>
            <w:jc w:val="center"/>
          </w:pPr>
        </w:p>
      </w:tc>
      <w:tc>
        <w:tcPr>
          <w:tcW w:w="3120" w:type="dxa"/>
        </w:tcPr>
        <w:p w14:paraId="27D9E768" w14:textId="60F849F8" w:rsidR="3E23327D" w:rsidRDefault="3E23327D" w:rsidP="3E23327D">
          <w:pPr>
            <w:pStyle w:val="Header"/>
            <w:ind w:right="-115"/>
            <w:jc w:val="right"/>
          </w:pPr>
        </w:p>
      </w:tc>
    </w:tr>
  </w:tbl>
  <w:p w14:paraId="225F9856" w14:textId="1C28178E" w:rsidR="3E23327D" w:rsidRDefault="3E23327D" w:rsidP="3E23327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5D86E" w14:textId="77777777" w:rsidR="00C459F2" w:rsidRDefault="00C459F2" w:rsidP="003975D7">
    <w:pPr>
      <w:pStyle w:val="Header"/>
      <w:ind w:left="-540"/>
    </w:pPr>
    <w:r>
      <w:rPr>
        <w:noProof/>
      </w:rPr>
      <mc:AlternateContent>
        <mc:Choice Requires="wps">
          <w:drawing>
            <wp:anchor distT="0" distB="0" distL="114300" distR="114300" simplePos="0" relativeHeight="251658245" behindDoc="0" locked="0" layoutInCell="1" allowOverlap="1" wp14:anchorId="56F5385E" wp14:editId="18804DFC">
              <wp:simplePos x="0" y="0"/>
              <wp:positionH relativeFrom="column">
                <wp:posOffset>4681220</wp:posOffset>
              </wp:positionH>
              <wp:positionV relativeFrom="paragraph">
                <wp:posOffset>-142875</wp:posOffset>
              </wp:positionV>
              <wp:extent cx="1538605" cy="933450"/>
              <wp:effectExtent l="4445" t="0" r="0" b="0"/>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8605" cy="933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EF31D5" w14:textId="77777777" w:rsidR="00C459F2" w:rsidRPr="00804F29" w:rsidRDefault="00C459F2" w:rsidP="003975D7">
                          <w:pPr>
                            <w:jc w:val="right"/>
                            <w:rPr>
                              <w:rFonts w:ascii="Arial" w:hAnsi="Arial" w:cs="Arial"/>
                              <w:b/>
                              <w:i/>
                              <w:sz w:val="12"/>
                              <w:szCs w:val="1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6F5385E" id="_x0000_t202" coordsize="21600,21600" o:spt="202" path="m,l,21600r21600,l21600,xe">
              <v:stroke joinstyle="miter"/>
              <v:path gradientshapeok="t" o:connecttype="rect"/>
            </v:shapetype>
            <v:shape id="_x0000_s1027" type="#_x0000_t202" style="position:absolute;left:0;text-align:left;margin-left:368.6pt;margin-top:-11.25pt;width:121.15pt;height:73.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" filled="f" stroked="f">
              <v:textbox>
                <w:txbxContent>
                  <w:p w14:paraId="61EF31D5" w14:textId="77777777" w:rsidR="00C459F2" w:rsidRPr="00804F29" w:rsidRDefault="00C459F2" w:rsidP="003975D7">
                    <w:pPr>
                      <w:jc w:val="right"/>
                      <w:rPr>
                        <w:rFonts w:ascii="Arial" w:hAnsi="Arial" w:cs="Arial"/>
                        <w:b/>
                        <w:i/>
                        <w:sz w:val="12"/>
                        <w:szCs w:val="12"/>
                      </w:rPr>
                    </w:pPr>
                  </w:p>
                </w:txbxContent>
              </v:textbox>
            </v:shape>
          </w:pict>
        </mc:Fallback>
      </mc:AlternateContent>
    </w:r>
    <w:r>
      <w:rPr>
        <w:noProof/>
      </w:rPr>
      <mc:AlternateContent>
        <mc:Choice Requires="wps">
          <w:drawing>
            <wp:anchor distT="0" distB="0" distL="114300" distR="114300" simplePos="0" relativeHeight="251658246" behindDoc="0" locked="0" layoutInCell="1" allowOverlap="1" wp14:anchorId="0D3C7C3D" wp14:editId="6476F2C5">
              <wp:simplePos x="0" y="0"/>
              <wp:positionH relativeFrom="column">
                <wp:posOffset>2905125</wp:posOffset>
              </wp:positionH>
              <wp:positionV relativeFrom="paragraph">
                <wp:posOffset>485775</wp:posOffset>
              </wp:positionV>
              <wp:extent cx="3267075" cy="0"/>
              <wp:effectExtent l="9525" t="9525" r="9525" b="9525"/>
              <wp:wrapNone/>
              <wp:docPr id="10"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6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v:shapetype id="_x0000_t32" coordsize="21600,21600" o:oned="t" filled="f" o:spt="32" path="m,l21600,21600e" w14:anchorId="50B0BC5D">
              <v:path fillok="f" arrowok="t" o:connecttype="none"/>
              <o:lock v:ext="edit" shapetype="t"/>
            </v:shapetype>
            <v:shape id="AutoShape 2" style="position:absolute;margin-left:228.75pt;margin-top:38.25pt;width:257.25pt;height:0;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"/>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62748978" w14:textId="77777777" w:rsidTr="3E23327D">
      <w:tc>
        <w:tcPr>
          <w:tcW w:w="3120" w:type="dxa"/>
        </w:tcPr>
        <w:p w14:paraId="05D7BA01" w14:textId="790D54AF" w:rsidR="3E23327D" w:rsidRDefault="3E23327D" w:rsidP="3E23327D">
          <w:pPr>
            <w:pStyle w:val="Header"/>
            <w:ind w:left="-115"/>
          </w:pPr>
        </w:p>
      </w:tc>
      <w:tc>
        <w:tcPr>
          <w:tcW w:w="3120" w:type="dxa"/>
        </w:tcPr>
        <w:p w14:paraId="1FC59550" w14:textId="091D8BC8" w:rsidR="3E23327D" w:rsidRDefault="3E23327D" w:rsidP="3E23327D">
          <w:pPr>
            <w:pStyle w:val="Header"/>
            <w:jc w:val="center"/>
          </w:pPr>
        </w:p>
      </w:tc>
      <w:tc>
        <w:tcPr>
          <w:tcW w:w="3120" w:type="dxa"/>
        </w:tcPr>
        <w:p w14:paraId="644A28C6" w14:textId="3A3C706D" w:rsidR="3E23327D" w:rsidRDefault="3E23327D" w:rsidP="3E23327D">
          <w:pPr>
            <w:pStyle w:val="Header"/>
            <w:ind w:right="-115"/>
            <w:jc w:val="right"/>
          </w:pPr>
        </w:p>
      </w:tc>
    </w:tr>
  </w:tbl>
  <w:p w14:paraId="27454B14" w14:textId="147DF626" w:rsidR="3E23327D" w:rsidRDefault="3E23327D" w:rsidP="3E23327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3768AF"/>
    <w:multiLevelType w:val="multilevel"/>
    <w:tmpl w:val="AA283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8C38AF"/>
    <w:multiLevelType w:val="hybridMultilevel"/>
    <w:tmpl w:val="B12ED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9477FAB"/>
    <w:multiLevelType w:val="hybridMultilevel"/>
    <w:tmpl w:val="3DF2D90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9961063"/>
    <w:multiLevelType w:val="hybridMultilevel"/>
    <w:tmpl w:val="A42C94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6FD75DB2"/>
    <w:multiLevelType w:val="multilevel"/>
    <w:tmpl w:val="66A2D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C8308E7"/>
    <w:multiLevelType w:val="hybridMultilevel"/>
    <w:tmpl w:val="6DC6C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51605322">
    <w:abstractNumId w:val="0"/>
  </w:num>
  <w:num w:numId="2" w16cid:durableId="1576671703">
    <w:abstractNumId w:val="4"/>
  </w:num>
  <w:num w:numId="3" w16cid:durableId="36702780">
    <w:abstractNumId w:val="5"/>
  </w:num>
  <w:num w:numId="4" w16cid:durableId="242448875">
    <w:abstractNumId w:val="2"/>
  </w:num>
  <w:num w:numId="5" w16cid:durableId="1211920828">
    <w:abstractNumId w:val="2"/>
    <w:lvlOverride w:ilvl="0">
      <w:startOverride w:val="1"/>
    </w:lvlOverride>
    <w:lvlOverride w:ilvl="1"/>
    <w:lvlOverride w:ilvl="2"/>
    <w:lvlOverride w:ilvl="3"/>
    <w:lvlOverride w:ilvl="4"/>
    <w:lvlOverride w:ilvl="5"/>
    <w:lvlOverride w:ilvl="6"/>
    <w:lvlOverride w:ilvl="7"/>
    <w:lvlOverride w:ilvl="8"/>
  </w:num>
  <w:num w:numId="6" w16cid:durableId="17407970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207481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hideSpellingErrors/>
  <w:hideGrammaticalErrors/>
  <w:proofState w:spelling="clean" w:grammar="clean"/>
  <w:defaultTabStop w:val="720"/>
  <w:evenAndOddHeaders/>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75D7"/>
    <w:rsid w:val="0001131D"/>
    <w:rsid w:val="00012827"/>
    <w:rsid w:val="00014E76"/>
    <w:rsid w:val="00014FD4"/>
    <w:rsid w:val="0007070C"/>
    <w:rsid w:val="000903A3"/>
    <w:rsid w:val="000A750A"/>
    <w:rsid w:val="000B2C68"/>
    <w:rsid w:val="000B4FC4"/>
    <w:rsid w:val="000B6CA8"/>
    <w:rsid w:val="000C27A9"/>
    <w:rsid w:val="000D05E6"/>
    <w:rsid w:val="000D36D4"/>
    <w:rsid w:val="000D62C5"/>
    <w:rsid w:val="001125A1"/>
    <w:rsid w:val="001163FB"/>
    <w:rsid w:val="00126802"/>
    <w:rsid w:val="001555E1"/>
    <w:rsid w:val="00165511"/>
    <w:rsid w:val="00171AA4"/>
    <w:rsid w:val="00191917"/>
    <w:rsid w:val="0019388B"/>
    <w:rsid w:val="00197ED9"/>
    <w:rsid w:val="001A2ABE"/>
    <w:rsid w:val="001A2FE9"/>
    <w:rsid w:val="001A6E05"/>
    <w:rsid w:val="001B0835"/>
    <w:rsid w:val="001D3970"/>
    <w:rsid w:val="00213882"/>
    <w:rsid w:val="002140E7"/>
    <w:rsid w:val="00253DD9"/>
    <w:rsid w:val="002578C5"/>
    <w:rsid w:val="002579F5"/>
    <w:rsid w:val="00260238"/>
    <w:rsid w:val="00291533"/>
    <w:rsid w:val="002A44FC"/>
    <w:rsid w:val="002B76E3"/>
    <w:rsid w:val="002F52C9"/>
    <w:rsid w:val="0031365D"/>
    <w:rsid w:val="0032554C"/>
    <w:rsid w:val="003321FC"/>
    <w:rsid w:val="003449A4"/>
    <w:rsid w:val="00347801"/>
    <w:rsid w:val="00354ED3"/>
    <w:rsid w:val="00374AEA"/>
    <w:rsid w:val="00377543"/>
    <w:rsid w:val="003838B0"/>
    <w:rsid w:val="003975D7"/>
    <w:rsid w:val="003A612E"/>
    <w:rsid w:val="003B357C"/>
    <w:rsid w:val="003C79A6"/>
    <w:rsid w:val="003D7905"/>
    <w:rsid w:val="0041658A"/>
    <w:rsid w:val="00417564"/>
    <w:rsid w:val="00432577"/>
    <w:rsid w:val="004669C0"/>
    <w:rsid w:val="0047365F"/>
    <w:rsid w:val="004807DE"/>
    <w:rsid w:val="004837B7"/>
    <w:rsid w:val="004A5490"/>
    <w:rsid w:val="004C0B5C"/>
    <w:rsid w:val="004E0C0E"/>
    <w:rsid w:val="004E2334"/>
    <w:rsid w:val="00507915"/>
    <w:rsid w:val="00507A85"/>
    <w:rsid w:val="00517DF5"/>
    <w:rsid w:val="005323BA"/>
    <w:rsid w:val="00554C19"/>
    <w:rsid w:val="0057108E"/>
    <w:rsid w:val="00574C55"/>
    <w:rsid w:val="00577FDA"/>
    <w:rsid w:val="00585CE0"/>
    <w:rsid w:val="00586DE6"/>
    <w:rsid w:val="005A7F91"/>
    <w:rsid w:val="005D724D"/>
    <w:rsid w:val="00621D43"/>
    <w:rsid w:val="006318CE"/>
    <w:rsid w:val="00633FC6"/>
    <w:rsid w:val="0063420C"/>
    <w:rsid w:val="006352F8"/>
    <w:rsid w:val="00637E79"/>
    <w:rsid w:val="00641672"/>
    <w:rsid w:val="0064579F"/>
    <w:rsid w:val="00657344"/>
    <w:rsid w:val="00662675"/>
    <w:rsid w:val="006645D2"/>
    <w:rsid w:val="006A2F9D"/>
    <w:rsid w:val="006B35B7"/>
    <w:rsid w:val="006D2D66"/>
    <w:rsid w:val="006D436C"/>
    <w:rsid w:val="006D69D5"/>
    <w:rsid w:val="006F74C4"/>
    <w:rsid w:val="006F7B27"/>
    <w:rsid w:val="00710EF2"/>
    <w:rsid w:val="00711A3E"/>
    <w:rsid w:val="007122E4"/>
    <w:rsid w:val="0071703F"/>
    <w:rsid w:val="007447C9"/>
    <w:rsid w:val="007802C8"/>
    <w:rsid w:val="00782EF6"/>
    <w:rsid w:val="007929EE"/>
    <w:rsid w:val="007D67C4"/>
    <w:rsid w:val="007F1020"/>
    <w:rsid w:val="00800A02"/>
    <w:rsid w:val="008019A8"/>
    <w:rsid w:val="008113EA"/>
    <w:rsid w:val="00817FB4"/>
    <w:rsid w:val="00823F30"/>
    <w:rsid w:val="008244BC"/>
    <w:rsid w:val="00835960"/>
    <w:rsid w:val="008560FE"/>
    <w:rsid w:val="00867EE0"/>
    <w:rsid w:val="0089547D"/>
    <w:rsid w:val="00896999"/>
    <w:rsid w:val="008A7D87"/>
    <w:rsid w:val="008B798B"/>
    <w:rsid w:val="008D62CD"/>
    <w:rsid w:val="008E77EF"/>
    <w:rsid w:val="00916192"/>
    <w:rsid w:val="009349DD"/>
    <w:rsid w:val="00943D70"/>
    <w:rsid w:val="009476E4"/>
    <w:rsid w:val="009505BE"/>
    <w:rsid w:val="00952CAC"/>
    <w:rsid w:val="00963F73"/>
    <w:rsid w:val="0097403A"/>
    <w:rsid w:val="009A13ED"/>
    <w:rsid w:val="009B04F2"/>
    <w:rsid w:val="009B4A42"/>
    <w:rsid w:val="009D5E27"/>
    <w:rsid w:val="009E07F7"/>
    <w:rsid w:val="00A02FEA"/>
    <w:rsid w:val="00A717FE"/>
    <w:rsid w:val="00A77623"/>
    <w:rsid w:val="00A82EC4"/>
    <w:rsid w:val="00AC515D"/>
    <w:rsid w:val="00AC7DDB"/>
    <w:rsid w:val="00AD7445"/>
    <w:rsid w:val="00AE4B58"/>
    <w:rsid w:val="00B02CA4"/>
    <w:rsid w:val="00B0390B"/>
    <w:rsid w:val="00B03A7B"/>
    <w:rsid w:val="00B0682D"/>
    <w:rsid w:val="00B368E9"/>
    <w:rsid w:val="00B40CE9"/>
    <w:rsid w:val="00B42DFC"/>
    <w:rsid w:val="00B46F83"/>
    <w:rsid w:val="00B61BD2"/>
    <w:rsid w:val="00B723FA"/>
    <w:rsid w:val="00BA488A"/>
    <w:rsid w:val="00BE64D5"/>
    <w:rsid w:val="00BF0B5E"/>
    <w:rsid w:val="00C000D9"/>
    <w:rsid w:val="00C00772"/>
    <w:rsid w:val="00C32A74"/>
    <w:rsid w:val="00C35BC3"/>
    <w:rsid w:val="00C439B7"/>
    <w:rsid w:val="00C459F2"/>
    <w:rsid w:val="00C56E45"/>
    <w:rsid w:val="00C61871"/>
    <w:rsid w:val="00C6645C"/>
    <w:rsid w:val="00C868BC"/>
    <w:rsid w:val="00C97007"/>
    <w:rsid w:val="00CB0915"/>
    <w:rsid w:val="00CC29C4"/>
    <w:rsid w:val="00CC5177"/>
    <w:rsid w:val="00CD2A70"/>
    <w:rsid w:val="00CF270F"/>
    <w:rsid w:val="00CF725B"/>
    <w:rsid w:val="00D017C0"/>
    <w:rsid w:val="00D05109"/>
    <w:rsid w:val="00D13F5B"/>
    <w:rsid w:val="00D154FB"/>
    <w:rsid w:val="00D17D03"/>
    <w:rsid w:val="00D264BA"/>
    <w:rsid w:val="00D3467F"/>
    <w:rsid w:val="00D35534"/>
    <w:rsid w:val="00D55986"/>
    <w:rsid w:val="00D65553"/>
    <w:rsid w:val="00D72C87"/>
    <w:rsid w:val="00DA21B0"/>
    <w:rsid w:val="00DC64FF"/>
    <w:rsid w:val="00DC6C95"/>
    <w:rsid w:val="00DF6ACD"/>
    <w:rsid w:val="00E16BB4"/>
    <w:rsid w:val="00E22CE1"/>
    <w:rsid w:val="00E23A72"/>
    <w:rsid w:val="00E32F01"/>
    <w:rsid w:val="00E43226"/>
    <w:rsid w:val="00E44707"/>
    <w:rsid w:val="00E5361C"/>
    <w:rsid w:val="00E54C7B"/>
    <w:rsid w:val="00EA7FB8"/>
    <w:rsid w:val="00EB5DC1"/>
    <w:rsid w:val="00ED61D5"/>
    <w:rsid w:val="00EE3B1D"/>
    <w:rsid w:val="00EF0BAC"/>
    <w:rsid w:val="00F1010B"/>
    <w:rsid w:val="00F1384E"/>
    <w:rsid w:val="00F167EA"/>
    <w:rsid w:val="00F21951"/>
    <w:rsid w:val="00F344A8"/>
    <w:rsid w:val="00F57267"/>
    <w:rsid w:val="00F65AA2"/>
    <w:rsid w:val="00F678AB"/>
    <w:rsid w:val="00F74402"/>
    <w:rsid w:val="00F749E0"/>
    <w:rsid w:val="00F76E21"/>
    <w:rsid w:val="00F84FB4"/>
    <w:rsid w:val="00FB37D6"/>
    <w:rsid w:val="00FB42FF"/>
    <w:rsid w:val="00FC03C3"/>
    <w:rsid w:val="00FC35DD"/>
    <w:rsid w:val="00FC3D8B"/>
    <w:rsid w:val="00FC546C"/>
    <w:rsid w:val="00FD319A"/>
    <w:rsid w:val="00FD56E7"/>
    <w:rsid w:val="00FE129C"/>
    <w:rsid w:val="00FE1905"/>
    <w:rsid w:val="00FE6002"/>
    <w:rsid w:val="00FF04CC"/>
    <w:rsid w:val="00FF2E25"/>
    <w:rsid w:val="01721A2C"/>
    <w:rsid w:val="06FE077B"/>
    <w:rsid w:val="09F80151"/>
    <w:rsid w:val="0D233A12"/>
    <w:rsid w:val="0D667CAB"/>
    <w:rsid w:val="0EF9D0BC"/>
    <w:rsid w:val="0F93B4D2"/>
    <w:rsid w:val="12FD7189"/>
    <w:rsid w:val="1378523B"/>
    <w:rsid w:val="13CC499A"/>
    <w:rsid w:val="17285AA7"/>
    <w:rsid w:val="1959C07C"/>
    <w:rsid w:val="1C559869"/>
    <w:rsid w:val="1C5F7F1B"/>
    <w:rsid w:val="1CCB323F"/>
    <w:rsid w:val="216B62AA"/>
    <w:rsid w:val="247F95BB"/>
    <w:rsid w:val="24B4B451"/>
    <w:rsid w:val="24B51795"/>
    <w:rsid w:val="2EC4F067"/>
    <w:rsid w:val="2EF3FB62"/>
    <w:rsid w:val="34A9F3A6"/>
    <w:rsid w:val="35DE50AC"/>
    <w:rsid w:val="3719B8D2"/>
    <w:rsid w:val="37E96F9A"/>
    <w:rsid w:val="3A4B28D7"/>
    <w:rsid w:val="3E23327D"/>
    <w:rsid w:val="4300BC8C"/>
    <w:rsid w:val="4346C192"/>
    <w:rsid w:val="43C71941"/>
    <w:rsid w:val="43CCDA72"/>
    <w:rsid w:val="44DDDA0F"/>
    <w:rsid w:val="45FB8897"/>
    <w:rsid w:val="48C2872B"/>
    <w:rsid w:val="4A7D65C2"/>
    <w:rsid w:val="4B4EDA45"/>
    <w:rsid w:val="4E608F26"/>
    <w:rsid w:val="4EAF814F"/>
    <w:rsid w:val="506BFB44"/>
    <w:rsid w:val="51609530"/>
    <w:rsid w:val="51B16D75"/>
    <w:rsid w:val="52A5A622"/>
    <w:rsid w:val="54180B9B"/>
    <w:rsid w:val="54FBB0D8"/>
    <w:rsid w:val="56E307C7"/>
    <w:rsid w:val="5BE7AE81"/>
    <w:rsid w:val="5D5C4C7B"/>
    <w:rsid w:val="5DAF39A7"/>
    <w:rsid w:val="5E48616C"/>
    <w:rsid w:val="5FBC5EAE"/>
    <w:rsid w:val="6218E846"/>
    <w:rsid w:val="633EBB1B"/>
    <w:rsid w:val="63759F9A"/>
    <w:rsid w:val="638C3746"/>
    <w:rsid w:val="66E740DE"/>
    <w:rsid w:val="6C052559"/>
    <w:rsid w:val="6EE31CBD"/>
    <w:rsid w:val="734E8ABE"/>
    <w:rsid w:val="744247D8"/>
    <w:rsid w:val="773DC40B"/>
    <w:rsid w:val="7B08F24B"/>
    <w:rsid w:val="7C0AE50A"/>
    <w:rsid w:val="7E12BCF7"/>
    <w:rsid w:val="7EEB4A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B14EDF"/>
  <w15:docId w15:val="{2AC48327-357C-4C1E-95D7-6992C0049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361C"/>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75D7"/>
    <w:pPr>
      <w:tabs>
        <w:tab w:val="center" w:pos="4680"/>
        <w:tab w:val="right" w:pos="9360"/>
      </w:tabs>
    </w:pPr>
  </w:style>
  <w:style w:type="character" w:customStyle="1" w:styleId="HeaderChar">
    <w:name w:val="Header Char"/>
    <w:basedOn w:val="DefaultParagraphFont"/>
    <w:link w:val="Header"/>
    <w:uiPriority w:val="99"/>
    <w:rsid w:val="003975D7"/>
    <w:rPr>
      <w:rFonts w:ascii="Times New Roman" w:hAnsi="Times New Roman"/>
      <w:sz w:val="24"/>
    </w:rPr>
  </w:style>
  <w:style w:type="paragraph" w:styleId="Footer">
    <w:name w:val="footer"/>
    <w:basedOn w:val="Normal"/>
    <w:link w:val="FooterChar"/>
    <w:uiPriority w:val="99"/>
    <w:unhideWhenUsed/>
    <w:rsid w:val="003975D7"/>
    <w:pPr>
      <w:tabs>
        <w:tab w:val="center" w:pos="4680"/>
        <w:tab w:val="right" w:pos="9360"/>
      </w:tabs>
    </w:pPr>
  </w:style>
  <w:style w:type="character" w:customStyle="1" w:styleId="FooterChar">
    <w:name w:val="Footer Char"/>
    <w:basedOn w:val="DefaultParagraphFont"/>
    <w:link w:val="Footer"/>
    <w:uiPriority w:val="99"/>
    <w:rsid w:val="003975D7"/>
    <w:rPr>
      <w:rFonts w:ascii="Times New Roman" w:hAnsi="Times New Roman"/>
      <w:sz w:val="24"/>
    </w:rPr>
  </w:style>
  <w:style w:type="paragraph" w:styleId="BalloonText">
    <w:name w:val="Balloon Text"/>
    <w:basedOn w:val="Normal"/>
    <w:link w:val="BalloonTextChar"/>
    <w:uiPriority w:val="99"/>
    <w:semiHidden/>
    <w:unhideWhenUsed/>
    <w:rsid w:val="003975D7"/>
    <w:rPr>
      <w:rFonts w:ascii="Tahoma" w:hAnsi="Tahoma" w:cs="Tahoma"/>
      <w:sz w:val="16"/>
      <w:szCs w:val="16"/>
    </w:rPr>
  </w:style>
  <w:style w:type="character" w:customStyle="1" w:styleId="BalloonTextChar">
    <w:name w:val="Balloon Text Char"/>
    <w:basedOn w:val="DefaultParagraphFont"/>
    <w:link w:val="BalloonText"/>
    <w:uiPriority w:val="99"/>
    <w:semiHidden/>
    <w:rsid w:val="003975D7"/>
    <w:rPr>
      <w:rFonts w:ascii="Tahoma" w:hAnsi="Tahoma" w:cs="Tahoma"/>
      <w:sz w:val="16"/>
      <w:szCs w:val="16"/>
    </w:rPr>
  </w:style>
  <w:style w:type="character" w:styleId="Hyperlink">
    <w:name w:val="Hyperlink"/>
    <w:basedOn w:val="DefaultParagraphFont"/>
    <w:uiPriority w:val="99"/>
    <w:unhideWhenUsed/>
    <w:rsid w:val="003975D7"/>
    <w:rPr>
      <w:color w:val="0000FF" w:themeColor="hyperlink"/>
      <w:u w:val="single"/>
    </w:rPr>
  </w:style>
  <w:style w:type="paragraph" w:styleId="NormalWeb">
    <w:name w:val="Normal (Web)"/>
    <w:basedOn w:val="Normal"/>
    <w:uiPriority w:val="99"/>
    <w:unhideWhenUsed/>
    <w:rsid w:val="005323BA"/>
    <w:pPr>
      <w:spacing w:before="100" w:beforeAutospacing="1" w:after="100" w:afterAutospacing="1" w:line="270" w:lineRule="atLeast"/>
    </w:pPr>
    <w:rPr>
      <w:rFonts w:ascii="Arial" w:eastAsia="Times New Roman" w:hAnsi="Arial" w:cs="Arial"/>
      <w:color w:val="000000"/>
      <w:sz w:val="20"/>
      <w:szCs w:val="20"/>
    </w:rPr>
  </w:style>
  <w:style w:type="character" w:styleId="CommentReference">
    <w:name w:val="annotation reference"/>
    <w:basedOn w:val="DefaultParagraphFont"/>
    <w:uiPriority w:val="99"/>
    <w:semiHidden/>
    <w:unhideWhenUsed/>
    <w:rsid w:val="006D2D66"/>
    <w:rPr>
      <w:sz w:val="16"/>
      <w:szCs w:val="16"/>
    </w:rPr>
  </w:style>
  <w:style w:type="paragraph" w:styleId="CommentText">
    <w:name w:val="annotation text"/>
    <w:basedOn w:val="Normal"/>
    <w:link w:val="CommentTextChar"/>
    <w:uiPriority w:val="99"/>
    <w:semiHidden/>
    <w:unhideWhenUsed/>
    <w:rsid w:val="006D2D66"/>
    <w:rPr>
      <w:sz w:val="20"/>
      <w:szCs w:val="20"/>
    </w:rPr>
  </w:style>
  <w:style w:type="character" w:customStyle="1" w:styleId="CommentTextChar">
    <w:name w:val="Comment Text Char"/>
    <w:basedOn w:val="DefaultParagraphFont"/>
    <w:link w:val="CommentText"/>
    <w:uiPriority w:val="99"/>
    <w:semiHidden/>
    <w:rsid w:val="006D2D66"/>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D2D66"/>
    <w:rPr>
      <w:b/>
      <w:bCs/>
    </w:rPr>
  </w:style>
  <w:style w:type="character" w:customStyle="1" w:styleId="CommentSubjectChar">
    <w:name w:val="Comment Subject Char"/>
    <w:basedOn w:val="CommentTextChar"/>
    <w:link w:val="CommentSubject"/>
    <w:uiPriority w:val="99"/>
    <w:semiHidden/>
    <w:rsid w:val="006D2D66"/>
    <w:rPr>
      <w:rFonts w:ascii="Times New Roman" w:hAnsi="Times New Roman"/>
      <w:b/>
      <w:bCs/>
      <w:sz w:val="20"/>
      <w:szCs w:val="20"/>
    </w:rPr>
  </w:style>
  <w:style w:type="paragraph" w:styleId="Revision">
    <w:name w:val="Revision"/>
    <w:hidden/>
    <w:uiPriority w:val="99"/>
    <w:semiHidden/>
    <w:rsid w:val="00432577"/>
    <w:pPr>
      <w:spacing w:after="0" w:line="240" w:lineRule="auto"/>
    </w:pPr>
    <w:rPr>
      <w:rFonts w:ascii="Times New Roman" w:hAnsi="Times New Roman"/>
      <w:sz w:val="24"/>
    </w:rPr>
  </w:style>
  <w:style w:type="character" w:styleId="FollowedHyperlink">
    <w:name w:val="FollowedHyperlink"/>
    <w:basedOn w:val="DefaultParagraphFont"/>
    <w:uiPriority w:val="99"/>
    <w:semiHidden/>
    <w:unhideWhenUsed/>
    <w:rsid w:val="00D17D03"/>
    <w:rPr>
      <w:color w:val="800080" w:themeColor="followedHyperlink"/>
      <w:u w:val="single"/>
    </w:rPr>
  </w:style>
  <w:style w:type="character" w:styleId="Strong">
    <w:name w:val="Strong"/>
    <w:basedOn w:val="DefaultParagraphFont"/>
    <w:uiPriority w:val="22"/>
    <w:qFormat/>
    <w:rsid w:val="00CC5177"/>
    <w:rPr>
      <w:b/>
      <w:bCs/>
    </w:rPr>
  </w:style>
  <w:style w:type="character" w:styleId="Emphasis">
    <w:name w:val="Emphasis"/>
    <w:basedOn w:val="DefaultParagraphFont"/>
    <w:uiPriority w:val="20"/>
    <w:qFormat/>
    <w:rsid w:val="00CC5177"/>
    <w:rPr>
      <w:i/>
      <w:iCs/>
    </w:rPr>
  </w:style>
  <w:style w:type="paragraph" w:styleId="ListParagraph">
    <w:name w:val="List Paragraph"/>
    <w:basedOn w:val="Normal"/>
    <w:uiPriority w:val="34"/>
    <w:qFormat/>
    <w:rsid w:val="003D7905"/>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dTable1Light-Accent1">
    <w:name w:val="Grid Table 1 Light Accent 1"/>
    <w:basedOn w:val="TableNormal"/>
    <w:uiPriority w:val="46"/>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ListTable1Light-Accent1">
    <w:name w:val="List Table 1 Light Accent 1"/>
    <w:basedOn w:val="TableNormal"/>
    <w:uiPriority w:val="46"/>
    <w:pPr>
      <w:spacing w:after="0" w:line="240" w:lineRule="auto"/>
    </w:p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paragraph">
    <w:name w:val="paragraph"/>
    <w:basedOn w:val="Normal"/>
    <w:rsid w:val="006F74C4"/>
    <w:pPr>
      <w:spacing w:before="100" w:beforeAutospacing="1" w:after="100" w:afterAutospacing="1"/>
    </w:pPr>
    <w:rPr>
      <w:rFonts w:eastAsia="Times New Roman" w:cs="Times New Roman"/>
      <w:szCs w:val="24"/>
    </w:rPr>
  </w:style>
  <w:style w:type="character" w:customStyle="1" w:styleId="normaltextrun">
    <w:name w:val="normaltextrun"/>
    <w:basedOn w:val="DefaultParagraphFont"/>
    <w:rsid w:val="006F74C4"/>
  </w:style>
  <w:style w:type="character" w:customStyle="1" w:styleId="eop">
    <w:name w:val="eop"/>
    <w:basedOn w:val="DefaultParagraphFont"/>
    <w:rsid w:val="006F74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2393328">
      <w:bodyDiv w:val="1"/>
      <w:marLeft w:val="0"/>
      <w:marRight w:val="0"/>
      <w:marTop w:val="0"/>
      <w:marBottom w:val="0"/>
      <w:divBdr>
        <w:top w:val="none" w:sz="0" w:space="0" w:color="auto"/>
        <w:left w:val="none" w:sz="0" w:space="0" w:color="auto"/>
        <w:bottom w:val="none" w:sz="0" w:space="0" w:color="auto"/>
        <w:right w:val="none" w:sz="0" w:space="0" w:color="auto"/>
      </w:divBdr>
    </w:div>
    <w:div w:id="452558205">
      <w:bodyDiv w:val="1"/>
      <w:marLeft w:val="0"/>
      <w:marRight w:val="0"/>
      <w:marTop w:val="0"/>
      <w:marBottom w:val="0"/>
      <w:divBdr>
        <w:top w:val="none" w:sz="0" w:space="0" w:color="auto"/>
        <w:left w:val="none" w:sz="0" w:space="0" w:color="auto"/>
        <w:bottom w:val="none" w:sz="0" w:space="0" w:color="auto"/>
        <w:right w:val="none" w:sz="0" w:space="0" w:color="auto"/>
      </w:divBdr>
      <w:divsChild>
        <w:div w:id="142428850">
          <w:marLeft w:val="0"/>
          <w:marRight w:val="0"/>
          <w:marTop w:val="0"/>
          <w:marBottom w:val="0"/>
          <w:divBdr>
            <w:top w:val="none" w:sz="0" w:space="0" w:color="auto"/>
            <w:left w:val="none" w:sz="0" w:space="0" w:color="auto"/>
            <w:bottom w:val="none" w:sz="0" w:space="0" w:color="auto"/>
            <w:right w:val="none" w:sz="0" w:space="0" w:color="auto"/>
          </w:divBdr>
          <w:divsChild>
            <w:div w:id="307631285">
              <w:marLeft w:val="0"/>
              <w:marRight w:val="0"/>
              <w:marTop w:val="0"/>
              <w:marBottom w:val="0"/>
              <w:divBdr>
                <w:top w:val="none" w:sz="0" w:space="0" w:color="auto"/>
                <w:left w:val="none" w:sz="0" w:space="0" w:color="auto"/>
                <w:bottom w:val="none" w:sz="0" w:space="0" w:color="auto"/>
                <w:right w:val="none" w:sz="0" w:space="0" w:color="auto"/>
              </w:divBdr>
            </w:div>
            <w:div w:id="2070421897">
              <w:marLeft w:val="0"/>
              <w:marRight w:val="0"/>
              <w:marTop w:val="0"/>
              <w:marBottom w:val="0"/>
              <w:divBdr>
                <w:top w:val="none" w:sz="0" w:space="0" w:color="auto"/>
                <w:left w:val="none" w:sz="0" w:space="0" w:color="auto"/>
                <w:bottom w:val="none" w:sz="0" w:space="0" w:color="auto"/>
                <w:right w:val="none" w:sz="0" w:space="0" w:color="auto"/>
              </w:divBdr>
            </w:div>
            <w:div w:id="533615813">
              <w:marLeft w:val="0"/>
              <w:marRight w:val="0"/>
              <w:marTop w:val="0"/>
              <w:marBottom w:val="0"/>
              <w:divBdr>
                <w:top w:val="none" w:sz="0" w:space="0" w:color="auto"/>
                <w:left w:val="none" w:sz="0" w:space="0" w:color="auto"/>
                <w:bottom w:val="none" w:sz="0" w:space="0" w:color="auto"/>
                <w:right w:val="none" w:sz="0" w:space="0" w:color="auto"/>
              </w:divBdr>
            </w:div>
            <w:div w:id="1609967929">
              <w:marLeft w:val="0"/>
              <w:marRight w:val="0"/>
              <w:marTop w:val="0"/>
              <w:marBottom w:val="0"/>
              <w:divBdr>
                <w:top w:val="none" w:sz="0" w:space="0" w:color="auto"/>
                <w:left w:val="none" w:sz="0" w:space="0" w:color="auto"/>
                <w:bottom w:val="none" w:sz="0" w:space="0" w:color="auto"/>
                <w:right w:val="none" w:sz="0" w:space="0" w:color="auto"/>
              </w:divBdr>
              <w:divsChild>
                <w:div w:id="1848792329">
                  <w:marLeft w:val="0"/>
                  <w:marRight w:val="0"/>
                  <w:marTop w:val="0"/>
                  <w:marBottom w:val="0"/>
                  <w:divBdr>
                    <w:top w:val="none" w:sz="0" w:space="0" w:color="auto"/>
                    <w:left w:val="none" w:sz="0" w:space="0" w:color="auto"/>
                    <w:bottom w:val="none" w:sz="0" w:space="0" w:color="auto"/>
                    <w:right w:val="none" w:sz="0" w:space="0" w:color="auto"/>
                  </w:divBdr>
                  <w:divsChild>
                    <w:div w:id="738094499">
                      <w:marLeft w:val="0"/>
                      <w:marRight w:val="0"/>
                      <w:marTop w:val="0"/>
                      <w:marBottom w:val="0"/>
                      <w:divBdr>
                        <w:top w:val="none" w:sz="0" w:space="0" w:color="auto"/>
                        <w:left w:val="none" w:sz="0" w:space="0" w:color="auto"/>
                        <w:bottom w:val="none" w:sz="0" w:space="0" w:color="auto"/>
                        <w:right w:val="none" w:sz="0" w:space="0" w:color="auto"/>
                      </w:divBdr>
                    </w:div>
                    <w:div w:id="1101803448">
                      <w:marLeft w:val="0"/>
                      <w:marRight w:val="0"/>
                      <w:marTop w:val="0"/>
                      <w:marBottom w:val="0"/>
                      <w:divBdr>
                        <w:top w:val="none" w:sz="0" w:space="0" w:color="auto"/>
                        <w:left w:val="none" w:sz="0" w:space="0" w:color="auto"/>
                        <w:bottom w:val="none" w:sz="0" w:space="0" w:color="auto"/>
                        <w:right w:val="none" w:sz="0" w:space="0" w:color="auto"/>
                      </w:divBdr>
                    </w:div>
                    <w:div w:id="955673538">
                      <w:marLeft w:val="0"/>
                      <w:marRight w:val="0"/>
                      <w:marTop w:val="0"/>
                      <w:marBottom w:val="0"/>
                      <w:divBdr>
                        <w:top w:val="none" w:sz="0" w:space="0" w:color="auto"/>
                        <w:left w:val="none" w:sz="0" w:space="0" w:color="auto"/>
                        <w:bottom w:val="none" w:sz="0" w:space="0" w:color="auto"/>
                        <w:right w:val="none" w:sz="0" w:space="0" w:color="auto"/>
                      </w:divBdr>
                    </w:div>
                    <w:div w:id="37384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5997245">
      <w:bodyDiv w:val="1"/>
      <w:marLeft w:val="0"/>
      <w:marRight w:val="0"/>
      <w:marTop w:val="0"/>
      <w:marBottom w:val="0"/>
      <w:divBdr>
        <w:top w:val="none" w:sz="0" w:space="0" w:color="auto"/>
        <w:left w:val="none" w:sz="0" w:space="0" w:color="auto"/>
        <w:bottom w:val="none" w:sz="0" w:space="0" w:color="auto"/>
        <w:right w:val="none" w:sz="0" w:space="0" w:color="auto"/>
      </w:divBdr>
    </w:div>
    <w:div w:id="869493394">
      <w:bodyDiv w:val="1"/>
      <w:marLeft w:val="0"/>
      <w:marRight w:val="0"/>
      <w:marTop w:val="0"/>
      <w:marBottom w:val="0"/>
      <w:divBdr>
        <w:top w:val="none" w:sz="0" w:space="0" w:color="auto"/>
        <w:left w:val="none" w:sz="0" w:space="0" w:color="auto"/>
        <w:bottom w:val="none" w:sz="0" w:space="0" w:color="auto"/>
        <w:right w:val="none" w:sz="0" w:space="0" w:color="auto"/>
      </w:divBdr>
    </w:div>
    <w:div w:id="1245066054">
      <w:bodyDiv w:val="1"/>
      <w:marLeft w:val="0"/>
      <w:marRight w:val="0"/>
      <w:marTop w:val="0"/>
      <w:marBottom w:val="0"/>
      <w:divBdr>
        <w:top w:val="none" w:sz="0" w:space="0" w:color="auto"/>
        <w:left w:val="none" w:sz="0" w:space="0" w:color="auto"/>
        <w:bottom w:val="none" w:sz="0" w:space="0" w:color="auto"/>
        <w:right w:val="none" w:sz="0" w:space="0" w:color="auto"/>
      </w:divBdr>
      <w:divsChild>
        <w:div w:id="1237936525">
          <w:marLeft w:val="0"/>
          <w:marRight w:val="0"/>
          <w:marTop w:val="0"/>
          <w:marBottom w:val="0"/>
          <w:divBdr>
            <w:top w:val="none" w:sz="0" w:space="0" w:color="auto"/>
            <w:left w:val="none" w:sz="0" w:space="0" w:color="auto"/>
            <w:bottom w:val="none" w:sz="0" w:space="0" w:color="auto"/>
            <w:right w:val="none" w:sz="0" w:space="0" w:color="auto"/>
          </w:divBdr>
        </w:div>
        <w:div w:id="1523587183">
          <w:marLeft w:val="0"/>
          <w:marRight w:val="0"/>
          <w:marTop w:val="0"/>
          <w:marBottom w:val="0"/>
          <w:divBdr>
            <w:top w:val="none" w:sz="0" w:space="0" w:color="auto"/>
            <w:left w:val="none" w:sz="0" w:space="0" w:color="auto"/>
            <w:bottom w:val="none" w:sz="0" w:space="0" w:color="auto"/>
            <w:right w:val="none" w:sz="0" w:space="0" w:color="auto"/>
          </w:divBdr>
        </w:div>
        <w:div w:id="1472090159">
          <w:marLeft w:val="0"/>
          <w:marRight w:val="0"/>
          <w:marTop w:val="0"/>
          <w:marBottom w:val="0"/>
          <w:divBdr>
            <w:top w:val="none" w:sz="0" w:space="0" w:color="auto"/>
            <w:left w:val="none" w:sz="0" w:space="0" w:color="auto"/>
            <w:bottom w:val="none" w:sz="0" w:space="0" w:color="auto"/>
            <w:right w:val="none" w:sz="0" w:space="0" w:color="auto"/>
          </w:divBdr>
        </w:div>
      </w:divsChild>
    </w:div>
    <w:div w:id="1344240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yperlink" Target="http://www.caepnet.org/"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footer" Target="footer3.xml"/><Relationship Id="rId23" Type="http://schemas.openxmlformats.org/officeDocument/2006/relationships/footer" Target="footer7.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footer" Target="footer6.xml"/></Relationships>
</file>

<file path=word/_rels/header2.xml.rels><?xml version="1.0" encoding="UTF-8" standalone="yes"?>
<Relationships xmlns="http://schemas.openxmlformats.org/package/2006/relationships"><Relationship Id="rId2" Type="http://schemas.openxmlformats.org/officeDocument/2006/relationships/hyperlink" Target="mailto:Matt.Vanover@caepnet.org"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E8A30D1D36739439ADA380905216E8C" ma:contentTypeVersion="16" ma:contentTypeDescription="Create a new document." ma:contentTypeScope="" ma:versionID="4ae8aa565e496251a1072c653f56e36c">
  <xsd:schema xmlns:xsd="http://www.w3.org/2001/XMLSchema" xmlns:xs="http://www.w3.org/2001/XMLSchema" xmlns:p="http://schemas.microsoft.com/office/2006/metadata/properties" xmlns:ns2="793a17ed-fb30-4e6d-bf88-96432c11d168" xmlns:ns3="7e3f04e7-2c34-4316-ac1f-cb308b68b226" targetNamespace="http://schemas.microsoft.com/office/2006/metadata/properties" ma:root="true" ma:fieldsID="bea0d34c6072f7b3a587c58606150426" ns2:_="" ns3:_="">
    <xsd:import namespace="793a17ed-fb30-4e6d-bf88-96432c11d168"/>
    <xsd:import namespace="7e3f04e7-2c34-4316-ac1f-cb308b68b22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93a17ed-fb30-4e6d-bf88-96432c11d16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3" nillable="true" ma:displayName="Taxonomy Catch All Column" ma:hidden="true" ma:list="{e0d97556-e44e-496c-a7d0-8d13f0bc1365}" ma:internalName="TaxCatchAll" ma:showField="CatchAllData" ma:web="793a17ed-fb30-4e6d-bf88-96432c11d16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e3f04e7-2c34-4316-ac1f-cb308b68b226"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9ebde76-b30d-4806-8e44-4e73095a0b3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793a17ed-fb30-4e6d-bf88-96432c11d168">
      <UserInfo>
        <DisplayName>Matt Vanover</DisplayName>
        <AccountId>164</AccountId>
        <AccountType/>
      </UserInfo>
      <UserInfo>
        <DisplayName>Gabriel Gilchrist</DisplayName>
        <AccountId>2235</AccountId>
        <AccountType/>
      </UserInfo>
      <UserInfo>
        <DisplayName>Mert Saka</DisplayName>
        <AccountId>1206</AccountId>
        <AccountType/>
      </UserInfo>
    </SharedWithUsers>
    <TaxCatchAll xmlns="793a17ed-fb30-4e6d-bf88-96432c11d168" xsi:nil="true"/>
    <lcf76f155ced4ddcb4097134ff3c332f xmlns="7e3f04e7-2c34-4316-ac1f-cb308b68b226">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FC6E5D2-64BC-454A-BF38-23FA995E3E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93a17ed-fb30-4e6d-bf88-96432c11d168"/>
    <ds:schemaRef ds:uri="7e3f04e7-2c34-4316-ac1f-cb308b68b2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DC93CF-0D9F-4B9F-BD2C-119F91351950}">
  <ds:schemaRefs>
    <ds:schemaRef ds:uri="http://schemas.microsoft.com/office/2006/metadata/properties"/>
    <ds:schemaRef ds:uri="http://schemas.microsoft.com/office/infopath/2007/PartnerControls"/>
    <ds:schemaRef ds:uri="793a17ed-fb30-4e6d-bf88-96432c11d168"/>
    <ds:schemaRef ds:uri="7e3f04e7-2c34-4316-ac1f-cb308b68b226"/>
  </ds:schemaRefs>
</ds:datastoreItem>
</file>

<file path=customXml/itemProps3.xml><?xml version="1.0" encoding="utf-8"?>
<ds:datastoreItem xmlns:ds="http://schemas.openxmlformats.org/officeDocument/2006/customXml" ds:itemID="{C50AA0BC-F3E3-4EFF-B266-34C2058CD67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850</Words>
  <Characters>4850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zach</dc:creator>
  <cp:lastModifiedBy>Terri Summers</cp:lastModifiedBy>
  <cp:revision>3</cp:revision>
  <cp:lastPrinted>2022-09-19T18:07:00Z</cp:lastPrinted>
  <dcterms:created xsi:type="dcterms:W3CDTF">2024-03-11T17:36:00Z</dcterms:created>
  <dcterms:modified xsi:type="dcterms:W3CDTF">2024-03-11T18:04:00Z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0x0101003E8A30D1D36739439ADA380905216E8C</vt:lpwstr>
  </property>
  <property fmtid="{D5CDD505-2E9C-101B-9397-08002B2CF9AE}" pid="3" name="MediaServiceImageTags">
    <vt:lpwstr/>
  </property>
</Properties>
</file>